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КАЛУЖСКАЯ ОБЛАСТЬ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МАЛОЯРОСЛАВЕЦКИЙ РАЙОН</w:t>
      </w:r>
    </w:p>
    <w:p w:rsidR="005C4E20" w:rsidRPr="00257765" w:rsidRDefault="005C4E20" w:rsidP="005C4E20">
      <w:pPr>
        <w:pStyle w:val="1"/>
        <w:ind w:firstLine="0"/>
        <w:rPr>
          <w:b w:val="0"/>
          <w:kern w:val="28"/>
          <w:sz w:val="24"/>
          <w:szCs w:val="24"/>
        </w:rPr>
      </w:pPr>
      <w:r w:rsidRPr="00257765">
        <w:rPr>
          <w:b w:val="0"/>
          <w:kern w:val="28"/>
          <w:sz w:val="24"/>
          <w:szCs w:val="24"/>
        </w:rPr>
        <w:t>АДМИНИСТРАЦИЯ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МУНИЦИПАЛЬНОГО ОБРАЗОВАНИЯ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ГОРОДСКОЕ ПОСЕЛЕНИЕ</w:t>
      </w:r>
    </w:p>
    <w:p w:rsidR="005C4E20" w:rsidRPr="00257765" w:rsidRDefault="005C4E20" w:rsidP="005C4E20">
      <w:pPr>
        <w:pStyle w:val="1"/>
        <w:ind w:firstLine="0"/>
        <w:rPr>
          <w:b w:val="0"/>
          <w:kern w:val="28"/>
          <w:sz w:val="24"/>
          <w:szCs w:val="24"/>
        </w:rPr>
      </w:pPr>
      <w:r w:rsidRPr="00257765">
        <w:rPr>
          <w:b w:val="0"/>
          <w:kern w:val="28"/>
          <w:sz w:val="24"/>
          <w:szCs w:val="24"/>
        </w:rPr>
        <w:t>«ГОРОД МАЛОЯРОСЛАВЕЦ»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ПОСТАНОВЛЕНИЕ</w:t>
      </w:r>
    </w:p>
    <w:p w:rsidR="005C4E20" w:rsidRPr="00257765" w:rsidRDefault="005C4E20" w:rsidP="005C4E20">
      <w:pPr>
        <w:ind w:firstLine="0"/>
        <w:jc w:val="center"/>
        <w:rPr>
          <w:rFonts w:cs="Arial"/>
          <w:bCs/>
          <w:kern w:val="28"/>
        </w:rPr>
      </w:pPr>
      <w:r w:rsidRPr="00257765">
        <w:rPr>
          <w:rFonts w:cs="Arial"/>
          <w:bCs/>
          <w:kern w:val="28"/>
        </w:rPr>
        <w:t>от 06.11.2019 г. № 1171</w:t>
      </w:r>
    </w:p>
    <w:p w:rsidR="005C4E20" w:rsidRPr="00BA6DCA" w:rsidRDefault="005C4E20" w:rsidP="005C4E20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5C4E20" w:rsidRPr="00BA6DCA" w:rsidRDefault="005C4E20" w:rsidP="005C4E20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BA6DC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муниципальной программы «Управление муниципальным имуществом в муниципальном образовании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городское поселение «</w:t>
      </w:r>
      <w:r w:rsidRPr="00BA6DC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 Малоярославец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»</w:t>
      </w:r>
    </w:p>
    <w:p w:rsidR="005C4E20" w:rsidRPr="00060123" w:rsidRDefault="005C4E20" w:rsidP="005C4E20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5C4E20" w:rsidRPr="00D27AC2" w:rsidRDefault="005C4E20" w:rsidP="005C4E20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</w:t>
      </w:r>
      <w:r w:rsidRPr="00BA6DCA">
        <w:rPr>
          <w:rFonts w:ascii="Arial" w:eastAsia="Times New Roman" w:hAnsi="Arial" w:cs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 </w:t>
      </w:r>
      <w:hyperlink r:id="rId7" w:tgtFrame="ChangingDocument" w:history="1">
        <w:r w:rsidRPr="00060123">
          <w:rPr>
            <w:rStyle w:val="a9"/>
            <w:rFonts w:ascii="Arial" w:eastAsia="Times New Roman" w:hAnsi="Arial"/>
            <w:szCs w:val="24"/>
            <w:lang w:eastAsia="ru-RU"/>
          </w:rPr>
          <w:t>22.01.2020 г. №38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8" w:tgtFrame="Logical" w:history="1">
        <w:r w:rsidRPr="009C192A">
          <w:rPr>
            <w:rStyle w:val="a9"/>
            <w:rFonts w:ascii="Arial" w:eastAsia="Times New Roman" w:hAnsi="Arial"/>
            <w:szCs w:val="24"/>
            <w:lang w:eastAsia="ru-RU"/>
          </w:rPr>
          <w:t>31.01.2020 г. №80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Pr="000C3362">
          <w:rPr>
            <w:rStyle w:val="a9"/>
            <w:rFonts w:ascii="Arial" w:eastAsia="Times New Roman" w:hAnsi="Arial"/>
            <w:szCs w:val="24"/>
            <w:lang w:eastAsia="ru-RU"/>
          </w:rPr>
          <w:t>29.10.2020 №980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Pr="006C76C2">
          <w:rPr>
            <w:rStyle w:val="a9"/>
            <w:rFonts w:ascii="Arial" w:eastAsia="Times New Roman" w:hAnsi="Arial"/>
            <w:szCs w:val="24"/>
            <w:lang w:eastAsia="ru-RU"/>
          </w:rPr>
          <w:t>26.03.2021 №344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1" w:tgtFrame="ChangingDocument" w:history="1">
        <w:r w:rsidRPr="00AD16E6">
          <w:rPr>
            <w:rStyle w:val="a9"/>
            <w:rFonts w:ascii="Arial" w:eastAsia="Times New Roman" w:hAnsi="Arial"/>
            <w:szCs w:val="24"/>
            <w:lang w:eastAsia="ru-RU"/>
          </w:rPr>
          <w:t>03.08.2021 №750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2" w:tgtFrame="ChangingDocument" w:history="1">
        <w:r w:rsidRPr="00571274">
          <w:rPr>
            <w:rStyle w:val="a9"/>
            <w:rFonts w:ascii="Arial" w:eastAsia="Times New Roman" w:hAnsi="Arial"/>
            <w:szCs w:val="24"/>
            <w:lang w:eastAsia="ru-RU"/>
          </w:rPr>
          <w:t>16.11.2021 №1104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Pr="007D4E86">
          <w:rPr>
            <w:rStyle w:val="a9"/>
            <w:rFonts w:ascii="Arial" w:eastAsia="Times New Roman" w:hAnsi="Arial"/>
            <w:szCs w:val="24"/>
            <w:lang w:eastAsia="ru-RU"/>
          </w:rPr>
          <w:t>30.11.2021 №1132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AE3732">
        <w:rPr>
          <w:rFonts w:ascii="Arial" w:eastAsia="Times New Roman" w:hAnsi="Arial"/>
          <w:szCs w:val="24"/>
          <w:lang w:eastAsia="ru-RU"/>
        </w:rPr>
        <w:t> </w:t>
      </w:r>
      <w:hyperlink r:id="rId14" w:tgtFrame="ChangingDocument" w:history="1"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11.02.2022</w:t>
        </w:r>
        <w:r w:rsidR="00AE3732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№131</w:t>
        </w:r>
      </w:hyperlink>
      <w:r w:rsidR="00191FE4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191FE4" w:rsidRPr="00191FE4">
          <w:rPr>
            <w:rStyle w:val="a9"/>
            <w:rFonts w:ascii="Arial" w:eastAsia="Times New Roman" w:hAnsi="Arial"/>
            <w:szCs w:val="24"/>
            <w:lang w:eastAsia="ru-RU"/>
          </w:rPr>
          <w:t>27.04.2022 №395</w:t>
        </w:r>
      </w:hyperlink>
      <w:r w:rsidR="00E3180A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E3180A" w:rsidRPr="00E3180A">
          <w:rPr>
            <w:rStyle w:val="a9"/>
            <w:rFonts w:ascii="Arial" w:eastAsia="Times New Roman" w:hAnsi="Arial"/>
            <w:szCs w:val="24"/>
            <w:lang w:eastAsia="ru-RU"/>
          </w:rPr>
          <w:t>21.06.2022 №591</w:t>
        </w:r>
      </w:hyperlink>
      <w:r w:rsidR="0075467B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75467B" w:rsidRPr="0075467B">
          <w:rPr>
            <w:rStyle w:val="a9"/>
            <w:rFonts w:ascii="Arial" w:eastAsia="Times New Roman" w:hAnsi="Arial"/>
            <w:szCs w:val="24"/>
            <w:lang w:eastAsia="ru-RU"/>
          </w:rPr>
          <w:t>16.03.2023 №238</w:t>
        </w:r>
      </w:hyperlink>
      <w:r w:rsidR="00BF37F0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BF37F0" w:rsidRPr="00BF37F0">
          <w:rPr>
            <w:rStyle w:val="a9"/>
            <w:rFonts w:ascii="Arial" w:eastAsia="Times New Roman" w:hAnsi="Arial"/>
            <w:szCs w:val="24"/>
            <w:lang w:eastAsia="ru-RU"/>
          </w:rPr>
          <w:t>06.06.2023 №520</w:t>
        </w:r>
      </w:hyperlink>
      <w:r w:rsidR="00FA0FB6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FA0FB6">
        <w:rPr>
          <w:rFonts w:ascii="Arial" w:eastAsia="Times New Roman" w:hAnsi="Arial"/>
          <w:szCs w:val="24"/>
          <w:lang w:eastAsia="ru-RU"/>
        </w:rPr>
        <w:t> </w:t>
      </w:r>
      <w:hyperlink r:id="rId19" w:tgtFrame="ChangingDocument" w:history="1">
        <w:r w:rsidR="00FA0FB6" w:rsidRPr="00FA0FB6">
          <w:rPr>
            <w:rStyle w:val="a9"/>
            <w:rFonts w:ascii="Arial" w:eastAsia="Times New Roman" w:hAnsi="Arial"/>
            <w:szCs w:val="24"/>
            <w:lang w:eastAsia="ru-RU"/>
          </w:rPr>
          <w:t>19.10.2023 №1036</w:t>
        </w:r>
      </w:hyperlink>
      <w:r w:rsidR="00D27AC2">
        <w:rPr>
          <w:rFonts w:ascii="Arial" w:eastAsia="Times New Roman" w:hAnsi="Arial"/>
          <w:szCs w:val="24"/>
          <w:lang w:eastAsia="ru-RU"/>
        </w:rPr>
        <w:t>, от </w:t>
      </w:r>
      <w:hyperlink r:id="rId20" w:tgtFrame="ChangingDocument" w:history="1">
        <w:r w:rsidR="00D27AC2" w:rsidRPr="00D27AC2">
          <w:rPr>
            <w:rStyle w:val="a9"/>
            <w:rFonts w:ascii="Arial" w:eastAsia="Times New Roman" w:hAnsi="Arial"/>
            <w:szCs w:val="24"/>
            <w:lang w:eastAsia="ru-RU"/>
          </w:rPr>
          <w:t>12.12.2023 №1197</w:t>
        </w:r>
      </w:hyperlink>
      <w:r w:rsidR="00BB2076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BB2076" w:rsidRPr="00BB2076">
          <w:rPr>
            <w:rStyle w:val="a9"/>
            <w:rFonts w:ascii="Arial" w:eastAsia="Times New Roman" w:hAnsi="Arial"/>
            <w:szCs w:val="24"/>
            <w:lang w:eastAsia="ru-RU"/>
          </w:rPr>
          <w:t>22.03.2024 №274</w:t>
        </w:r>
      </w:hyperlink>
      <w:r w:rsidR="00695901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695901" w:rsidRPr="00695901">
          <w:rPr>
            <w:rStyle w:val="a9"/>
            <w:rFonts w:ascii="Arial" w:eastAsia="Times New Roman" w:hAnsi="Arial"/>
            <w:szCs w:val="24"/>
            <w:lang w:eastAsia="ru-RU"/>
          </w:rPr>
          <w:t>28.02.2025 №205</w:t>
        </w:r>
      </w:hyperlink>
      <w:r w:rsidR="00116CC7">
        <w:rPr>
          <w:rFonts w:ascii="Arial" w:eastAsia="Times New Roman" w:hAnsi="Arial"/>
          <w:szCs w:val="24"/>
          <w:lang w:eastAsia="ru-RU"/>
        </w:rPr>
        <w:t>, от11.08.2025 №712, от 22.12.2025 №1295)</w:t>
      </w:r>
    </w:p>
    <w:p w:rsidR="005C4E20" w:rsidRPr="00060123" w:rsidRDefault="005C4E20" w:rsidP="005C4E20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5C4E20" w:rsidRPr="008C6F1F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BA6DCA">
        <w:rPr>
          <w:rFonts w:ascii="Arial" w:eastAsia="Times New Roman" w:hAnsi="Arial" w:cs="Arial"/>
          <w:szCs w:val="24"/>
          <w:lang w:eastAsia="ru-RU"/>
        </w:rPr>
        <w:t>Руководствуясь постановлением администрации муниципального образования городское поселение «Город Малоярославец» от 29.04.2019г. №447 «Об утверждении Порядка разработки,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постановлением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 и</w:t>
      </w:r>
      <w:proofErr w:type="gramEnd"/>
      <w:r w:rsidRPr="00BA6DCA">
        <w:rPr>
          <w:rFonts w:ascii="Arial" w:eastAsia="Times New Roman" w:hAnsi="Arial" w:cs="Arial"/>
          <w:szCs w:val="24"/>
          <w:lang w:eastAsia="ru-RU"/>
        </w:rPr>
        <w:t xml:space="preserve"> в последующие годы, статьей 37 </w:t>
      </w:r>
      <w:hyperlink r:id="rId23" w:tooltip="Устава муниципального образования городское поселение " w:history="1"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Устава муниципального образования городское поселение «Город Малоярославец»</w:t>
        </w:r>
      </w:hyperlink>
      <w:r w:rsidRPr="00BA6DCA">
        <w:rPr>
          <w:rFonts w:ascii="Arial" w:eastAsia="Times New Roman" w:hAnsi="Arial" w:cs="Arial"/>
          <w:szCs w:val="24"/>
          <w:lang w:eastAsia="ru-RU"/>
        </w:rPr>
        <w:t xml:space="preserve">, администрация </w:t>
      </w:r>
    </w:p>
    <w:p w:rsidR="005C4E20" w:rsidRPr="008C6F1F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9E60B9" w:rsidRDefault="005C4E20" w:rsidP="005C4E20">
      <w:pPr>
        <w:pStyle w:val="a5"/>
        <w:jc w:val="center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ПОСТАНОВЛЯЕТ:</w:t>
      </w:r>
    </w:p>
    <w:p w:rsidR="005C4E20" w:rsidRPr="009E60B9" w:rsidRDefault="005C4E20" w:rsidP="005C4E20">
      <w:pPr>
        <w:pStyle w:val="a5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1. Утвердить муниципальную программу «Управление муниципальным имуществом в муниципальном образовании городское поселение «Город Малоярославец» согласно приложению №1 к настоящему постановлению.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4" w:tgtFrame="Logical" w:history="1"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15.11.2013г. №</w:t>
        </w:r>
        <w:r>
          <w:rPr>
            <w:rStyle w:val="a9"/>
            <w:rFonts w:ascii="Arial" w:eastAsia="Times New Roman" w:hAnsi="Arial" w:cs="Arial"/>
            <w:szCs w:val="24"/>
            <w:lang w:eastAsia="ru-RU"/>
          </w:rPr>
          <w:t xml:space="preserve"> </w:t>
        </w:r>
        <w:r w:rsidRPr="00584D9A">
          <w:rPr>
            <w:rStyle w:val="a9"/>
            <w:rFonts w:ascii="Arial" w:eastAsia="Times New Roman" w:hAnsi="Arial" w:cs="Arial"/>
            <w:szCs w:val="24"/>
            <w:lang w:eastAsia="ru-RU"/>
          </w:rPr>
          <w:t>815</w:t>
        </w:r>
      </w:hyperlink>
      <w:r w:rsidRPr="00BA6DCA">
        <w:rPr>
          <w:rFonts w:ascii="Arial" w:eastAsia="Times New Roman" w:hAnsi="Arial" w:cs="Arial"/>
          <w:szCs w:val="24"/>
          <w:lang w:eastAsia="ru-RU"/>
        </w:rPr>
        <w:t xml:space="preserve"> «Об утверждении муниципальной программы «Управление муниципальным имуществом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>4. Настоящее постановление входит в силу с 01.01.2020 года и подлежит опубликованию в газете «Малоярославецкий край».</w:t>
      </w: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both"/>
        <w:rPr>
          <w:rFonts w:ascii="Arial" w:eastAsia="Times New Roman" w:hAnsi="Arial" w:cs="Arial"/>
          <w:szCs w:val="24"/>
          <w:lang w:eastAsia="ru-RU"/>
        </w:rPr>
      </w:pPr>
    </w:p>
    <w:p w:rsidR="005C4E20" w:rsidRPr="00BA6DCA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Глава администрации муниципального образования 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t xml:space="preserve">городское поселение «Город Малоярославец» 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  <w:r w:rsidRPr="00BA6DCA">
        <w:rPr>
          <w:rFonts w:ascii="Arial" w:eastAsia="Times New Roman" w:hAnsi="Arial" w:cs="Arial"/>
          <w:szCs w:val="24"/>
          <w:lang w:eastAsia="ru-RU"/>
        </w:rPr>
        <w:lastRenderedPageBreak/>
        <w:t>Р.С. Саидов</w:t>
      </w: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Default="005C4E20" w:rsidP="005C4E20">
      <w:pPr>
        <w:pStyle w:val="a5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>Приложение N 1</w:t>
      </w: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 xml:space="preserve">к постановлению администрации </w:t>
      </w:r>
    </w:p>
    <w:p w:rsidR="005C4E20" w:rsidRDefault="005C4E20" w:rsidP="005C4E20">
      <w:pPr>
        <w:ind w:firstLine="0"/>
        <w:jc w:val="right"/>
        <w:rPr>
          <w:rFonts w:cs="Arial"/>
        </w:rPr>
      </w:pPr>
      <w:r w:rsidRPr="00BA6DCA">
        <w:rPr>
          <w:rFonts w:cs="Arial"/>
        </w:rPr>
        <w:t xml:space="preserve">муниципального образования </w:t>
      </w:r>
    </w:p>
    <w:p w:rsidR="005C4E20" w:rsidRPr="00457E17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BA6DCA">
        <w:rPr>
          <w:rFonts w:cs="Arial"/>
        </w:rPr>
        <w:t>городское поселение</w:t>
      </w:r>
      <w:r w:rsidRPr="00457E17">
        <w:rPr>
          <w:rFonts w:cs="Arial"/>
          <w:bCs/>
          <w:kern w:val="28"/>
        </w:rPr>
        <w:t xml:space="preserve"> «Город Малоярославец»</w:t>
      </w:r>
    </w:p>
    <w:p w:rsidR="005C4E20" w:rsidRDefault="005C4E20" w:rsidP="005C4E20">
      <w:pPr>
        <w:ind w:firstLine="0"/>
        <w:jc w:val="right"/>
        <w:rPr>
          <w:rFonts w:cs="Arial"/>
          <w:bCs/>
          <w:kern w:val="28"/>
        </w:rPr>
      </w:pPr>
      <w:r w:rsidRPr="00457E17">
        <w:rPr>
          <w:rFonts w:cs="Arial"/>
          <w:bCs/>
          <w:kern w:val="28"/>
        </w:rPr>
        <w:t>от 06.11.2019 г. №</w:t>
      </w:r>
      <w:r>
        <w:rPr>
          <w:rFonts w:cs="Arial"/>
          <w:bCs/>
          <w:kern w:val="28"/>
        </w:rPr>
        <w:t xml:space="preserve"> </w:t>
      </w:r>
      <w:r w:rsidRPr="00457E17">
        <w:rPr>
          <w:rFonts w:cs="Arial"/>
          <w:bCs/>
          <w:kern w:val="28"/>
        </w:rPr>
        <w:t>1171</w:t>
      </w:r>
    </w:p>
    <w:p w:rsidR="005C4E20" w:rsidRDefault="005C4E20" w:rsidP="005C4E20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</w:t>
      </w:r>
      <w:proofErr w:type="gramEnd"/>
    </w:p>
    <w:p w:rsidR="0075467B" w:rsidRPr="00E3180A" w:rsidRDefault="005C4E20" w:rsidP="0075467B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52338A">
        <w:rPr>
          <w:rFonts w:ascii="Arial" w:eastAsia="Times New Roman" w:hAnsi="Arial" w:cs="Arial"/>
          <w:szCs w:val="24"/>
          <w:lang w:eastAsia="ru-RU"/>
        </w:rPr>
        <w:t xml:space="preserve">от </w:t>
      </w:r>
      <w:hyperlink r:id="rId25" w:tgtFrame="ChangingDocument" w:history="1">
        <w:r w:rsidRPr="0052338A">
          <w:rPr>
            <w:rStyle w:val="a9"/>
            <w:rFonts w:ascii="Arial" w:eastAsia="Times New Roman" w:hAnsi="Arial" w:cs="Arial"/>
            <w:szCs w:val="24"/>
            <w:lang w:eastAsia="ru-RU"/>
          </w:rPr>
          <w:t>22.01.2020 г. №38</w:t>
        </w:r>
      </w:hyperlink>
      <w:r w:rsidRPr="0052338A">
        <w:rPr>
          <w:rFonts w:ascii="Arial" w:eastAsia="Times New Roman" w:hAnsi="Arial" w:cs="Arial"/>
          <w:szCs w:val="24"/>
          <w:lang w:eastAsia="ru-RU"/>
        </w:rPr>
        <w:t xml:space="preserve">, </w:t>
      </w:r>
      <w:r w:rsidRPr="0052338A">
        <w:rPr>
          <w:rFonts w:ascii="Arial" w:hAnsi="Arial" w:cs="Arial"/>
          <w:bCs/>
          <w:kern w:val="28"/>
        </w:rPr>
        <w:t xml:space="preserve">от </w:t>
      </w:r>
      <w:hyperlink r:id="rId26" w:tgtFrame="Logical" w:history="1">
        <w:r w:rsidRPr="0052338A">
          <w:rPr>
            <w:rStyle w:val="a9"/>
            <w:rFonts w:ascii="Arial" w:hAnsi="Arial" w:cs="Arial"/>
            <w:bCs/>
            <w:kern w:val="28"/>
          </w:rPr>
          <w:t>31.01.2020 г. №80</w:t>
        </w:r>
      </w:hyperlink>
      <w:bookmarkStart w:id="0" w:name="P169"/>
      <w:bookmarkEnd w:id="0"/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7" w:tgtFrame="Logical" w:history="1">
        <w:r w:rsidRPr="000C3362">
          <w:rPr>
            <w:rStyle w:val="a9"/>
            <w:rFonts w:ascii="Arial" w:eastAsia="Times New Roman" w:hAnsi="Arial"/>
            <w:szCs w:val="24"/>
            <w:lang w:eastAsia="ru-RU"/>
          </w:rPr>
          <w:t>29.10.2020 №980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8" w:tgtFrame="ChangingDocument" w:history="1">
        <w:r w:rsidRPr="006C76C2">
          <w:rPr>
            <w:rStyle w:val="a9"/>
            <w:rFonts w:ascii="Arial" w:eastAsia="Times New Roman" w:hAnsi="Arial"/>
            <w:szCs w:val="24"/>
            <w:lang w:eastAsia="ru-RU"/>
          </w:rPr>
          <w:t>26.03.2021 №344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Pr="00AD16E6">
          <w:rPr>
            <w:rStyle w:val="a9"/>
            <w:rFonts w:ascii="Arial" w:eastAsia="Times New Roman" w:hAnsi="Arial"/>
            <w:szCs w:val="24"/>
            <w:lang w:eastAsia="ru-RU"/>
          </w:rPr>
          <w:t>03.08.2021 №750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30" w:tgtFrame="ChangingDocument" w:history="1">
        <w:r w:rsidRPr="00571274">
          <w:rPr>
            <w:rStyle w:val="a9"/>
            <w:rFonts w:ascii="Arial" w:eastAsia="Times New Roman" w:hAnsi="Arial"/>
            <w:szCs w:val="24"/>
            <w:lang w:eastAsia="ru-RU"/>
          </w:rPr>
          <w:t>16.11.2021 №1104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Pr="007D4E86">
          <w:rPr>
            <w:rStyle w:val="a9"/>
            <w:rFonts w:ascii="Arial" w:eastAsia="Times New Roman" w:hAnsi="Arial"/>
            <w:szCs w:val="24"/>
            <w:lang w:eastAsia="ru-RU"/>
          </w:rPr>
          <w:t>30.11.2021 №1132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AE3732">
        <w:rPr>
          <w:rFonts w:ascii="Arial" w:eastAsia="Times New Roman" w:hAnsi="Arial"/>
          <w:szCs w:val="24"/>
          <w:lang w:eastAsia="ru-RU"/>
        </w:rPr>
        <w:t> </w:t>
      </w:r>
      <w:hyperlink r:id="rId32" w:tgtFrame="ChangingDocument" w:history="1"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11.02.2022</w:t>
        </w:r>
        <w:r w:rsidR="00AE3732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5C4E20">
          <w:rPr>
            <w:rStyle w:val="a9"/>
            <w:rFonts w:ascii="Arial" w:eastAsia="Times New Roman" w:hAnsi="Arial"/>
            <w:szCs w:val="24"/>
            <w:lang w:eastAsia="ru-RU"/>
          </w:rPr>
          <w:t>№131</w:t>
        </w:r>
      </w:hyperlink>
      <w:r w:rsidR="0039695C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39695C" w:rsidRPr="00191FE4">
          <w:rPr>
            <w:rStyle w:val="a9"/>
            <w:rFonts w:ascii="Arial" w:eastAsia="Times New Roman" w:hAnsi="Arial"/>
            <w:szCs w:val="24"/>
            <w:lang w:eastAsia="ru-RU"/>
          </w:rPr>
          <w:t>27.04.2022 №395</w:t>
        </w:r>
      </w:hyperlink>
      <w:r w:rsidR="00C66BE4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C66BE4" w:rsidRPr="00E3180A">
          <w:rPr>
            <w:rStyle w:val="a9"/>
            <w:rFonts w:ascii="Arial" w:eastAsia="Times New Roman" w:hAnsi="Arial"/>
            <w:szCs w:val="24"/>
            <w:lang w:eastAsia="ru-RU"/>
          </w:rPr>
          <w:t>21.06.2022 №591</w:t>
        </w:r>
      </w:hyperlink>
      <w:r w:rsidR="0075467B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75467B" w:rsidRPr="0075467B">
          <w:rPr>
            <w:rStyle w:val="a9"/>
            <w:rFonts w:ascii="Arial" w:eastAsia="Times New Roman" w:hAnsi="Arial"/>
            <w:szCs w:val="24"/>
            <w:lang w:eastAsia="ru-RU"/>
          </w:rPr>
          <w:t>16.03.2023 №238</w:t>
        </w:r>
      </w:hyperlink>
      <w:r w:rsidR="00BF37F0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BF37F0" w:rsidRPr="00BF37F0">
          <w:rPr>
            <w:rStyle w:val="a9"/>
            <w:rFonts w:ascii="Arial" w:eastAsia="Times New Roman" w:hAnsi="Arial"/>
            <w:szCs w:val="24"/>
            <w:lang w:eastAsia="ru-RU"/>
          </w:rPr>
          <w:t>06.06.2023 №520</w:t>
        </w:r>
      </w:hyperlink>
      <w:r w:rsidR="0057368C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57368C" w:rsidRPr="00FA0FB6">
          <w:rPr>
            <w:rStyle w:val="a9"/>
            <w:rFonts w:ascii="Arial" w:eastAsia="Times New Roman" w:hAnsi="Arial"/>
            <w:szCs w:val="24"/>
            <w:lang w:eastAsia="ru-RU"/>
          </w:rPr>
          <w:t>19.10.2023 №1036</w:t>
        </w:r>
      </w:hyperlink>
      <w:r w:rsidR="00D27AC2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D27AC2">
        <w:rPr>
          <w:rFonts w:ascii="Arial" w:eastAsia="Times New Roman" w:hAnsi="Arial"/>
          <w:szCs w:val="24"/>
          <w:lang w:eastAsia="ru-RU"/>
        </w:rPr>
        <w:t> </w:t>
      </w:r>
      <w:hyperlink r:id="rId38" w:tgtFrame="ChangingDocument" w:history="1">
        <w:r w:rsidR="00D27AC2" w:rsidRPr="00D27AC2">
          <w:rPr>
            <w:rStyle w:val="a9"/>
            <w:rFonts w:ascii="Arial" w:eastAsia="Times New Roman" w:hAnsi="Arial"/>
            <w:szCs w:val="24"/>
            <w:lang w:eastAsia="ru-RU"/>
          </w:rPr>
          <w:t>12.12.2023 №1197</w:t>
        </w:r>
      </w:hyperlink>
      <w:r w:rsidR="0072136B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72136B" w:rsidRPr="00BB2076">
          <w:rPr>
            <w:rStyle w:val="a9"/>
            <w:rFonts w:ascii="Arial" w:eastAsia="Times New Roman" w:hAnsi="Arial"/>
            <w:szCs w:val="24"/>
            <w:lang w:eastAsia="ru-RU"/>
          </w:rPr>
          <w:t>22.03.2024 №274</w:t>
        </w:r>
      </w:hyperlink>
      <w:r w:rsidR="00695901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695901" w:rsidRPr="00695901">
          <w:rPr>
            <w:rStyle w:val="a9"/>
            <w:rFonts w:ascii="Arial" w:eastAsia="Times New Roman" w:hAnsi="Arial"/>
            <w:szCs w:val="24"/>
            <w:lang w:eastAsia="ru-RU"/>
          </w:rPr>
          <w:t>28.02.2025 №205</w:t>
        </w:r>
      </w:hyperlink>
      <w:r w:rsidR="00737E46">
        <w:rPr>
          <w:rFonts w:ascii="Arial" w:eastAsia="Times New Roman" w:hAnsi="Arial"/>
          <w:szCs w:val="24"/>
          <w:lang w:eastAsia="ru-RU"/>
        </w:rPr>
        <w:t>, от11.08.2025 №712</w:t>
      </w:r>
      <w:r w:rsidR="00414A10">
        <w:rPr>
          <w:rFonts w:ascii="Arial" w:eastAsia="Times New Roman" w:hAnsi="Arial"/>
          <w:szCs w:val="24"/>
          <w:lang w:eastAsia="ru-RU"/>
        </w:rPr>
        <w:t>, от 22.12.2025 №1295</w:t>
      </w:r>
      <w:r w:rsidR="0057368C">
        <w:rPr>
          <w:rFonts w:ascii="Arial" w:eastAsia="Times New Roman" w:hAnsi="Arial"/>
          <w:szCs w:val="24"/>
          <w:lang w:eastAsia="ru-RU"/>
        </w:rPr>
        <w:t>)</w:t>
      </w:r>
    </w:p>
    <w:p w:rsidR="005C4E20" w:rsidRPr="00BA6DCA" w:rsidRDefault="005C4E20" w:rsidP="005C4E20">
      <w:pPr>
        <w:pStyle w:val="a5"/>
        <w:ind w:left="-284" w:firstLine="284"/>
        <w:jc w:val="right"/>
        <w:rPr>
          <w:rFonts w:cs="Arial"/>
          <w:b/>
        </w:rPr>
      </w:pPr>
    </w:p>
    <w:p w:rsidR="005C4E20" w:rsidRPr="00BA6DCA" w:rsidRDefault="005C4E20" w:rsidP="005C4E20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t>ПАСПОРТ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t>муниципальной программы "Управление муниципальным имуществом в муниципальном образовании городское поселение "Город Малоярославец"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5809"/>
      </w:tblGrid>
      <w:tr w:rsidR="005C4E20" w:rsidRPr="00BA6DCA" w:rsidTr="005E6AB1">
        <w:trPr>
          <w:trHeight w:val="519"/>
        </w:trPr>
        <w:tc>
          <w:tcPr>
            <w:tcW w:w="2188" w:type="pct"/>
          </w:tcPr>
          <w:p w:rsidR="005C4E20" w:rsidRPr="00BA6DCA" w:rsidRDefault="005C4E20" w:rsidP="005E6AB1">
            <w:pPr>
              <w:pStyle w:val="Table0"/>
            </w:pPr>
            <w:r w:rsidRPr="00BA6DCA">
              <w:t>1. Ответственный исполнитель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0"/>
            </w:pPr>
            <w:r w:rsidRPr="00BA6DCA">
              <w:t>Отдел по управлению муниципальным имуществом и жилищно-коммунальным хозяйству администрации муниципального образования городское поселение "Город Малоярославец"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  <w:rPr>
                <w:lang w:val="en-US"/>
              </w:rPr>
            </w:pPr>
            <w:r w:rsidRPr="00BA6DCA">
              <w:t>2. Участники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>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3. Цели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Рациональное использование муниципального имущества и земельных ресурсов</w:t>
            </w:r>
          </w:p>
        </w:tc>
      </w:tr>
      <w:tr w:rsidR="005C4E20" w:rsidRPr="00BA6DCA" w:rsidTr="005E6AB1">
        <w:trPr>
          <w:trHeight w:val="235"/>
        </w:trPr>
        <w:tc>
          <w:tcPr>
            <w:tcW w:w="2188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t>4. Задачи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Совершенствование системы учета объектов муниципальной собственности в казне и реестре муниципального имущества;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Вовлечение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BA6DCA">
              <w:rPr>
                <w:rFonts w:eastAsia="Calibri"/>
                <w:lang w:eastAsia="en-US"/>
              </w:rPr>
              <w:t>- Проведение сбалансированной политики в сфере приватизации муниципального имущества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5. Перечень основных мероприятий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5E6AB1">
            <w:pPr>
              <w:pStyle w:val="Table"/>
            </w:pPr>
            <w:r w:rsidRPr="00BA6DCA">
              <w:t>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 xml:space="preserve">6. Индикаторы (целевые показатели) </w:t>
            </w:r>
            <w:r w:rsidRPr="00BA6DCA">
              <w:lastRenderedPageBreak/>
              <w:t>муниципальной программы</w:t>
            </w:r>
          </w:p>
        </w:tc>
        <w:tc>
          <w:tcPr>
            <w:tcW w:w="2812" w:type="pct"/>
          </w:tcPr>
          <w:p w:rsidR="005C4E20" w:rsidRPr="002E2500" w:rsidRDefault="005C4E20" w:rsidP="005E6AB1">
            <w:pPr>
              <w:pStyle w:val="Table0"/>
              <w:jc w:val="both"/>
              <w:rPr>
                <w:b w:val="0"/>
              </w:rPr>
            </w:pPr>
            <w:r w:rsidRPr="002E2500">
              <w:rPr>
                <w:b w:val="0"/>
              </w:rPr>
              <w:lastRenderedPageBreak/>
              <w:t xml:space="preserve">- количество земельных участков, в отношении </w:t>
            </w:r>
            <w:r w:rsidRPr="002E2500">
              <w:rPr>
                <w:b w:val="0"/>
              </w:rPr>
              <w:lastRenderedPageBreak/>
              <w:t>которых будут проведены кадастровые работы по межеванию  для государственной регистрации;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>- количество объектов, подлежащих независимой оценке имущества, признание прав и урегулирование отношений по муниципальной собственности;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>- количество объектов недвижимости, в отношении которых будут проведены кадастровые работы по проведению технической инвентаризации;</w:t>
            </w:r>
          </w:p>
          <w:p w:rsidR="005C4E20" w:rsidRPr="00111267" w:rsidRDefault="005C4E20" w:rsidP="005E6AB1">
            <w:pPr>
              <w:pStyle w:val="Table"/>
              <w:jc w:val="both"/>
            </w:pPr>
            <w:r w:rsidRPr="00111267">
              <w:t>- количество актов обследования для снятия муниципального имущества с кадастрового имущества;</w:t>
            </w:r>
          </w:p>
          <w:p w:rsidR="005C4E20" w:rsidRPr="00BA6DCA" w:rsidRDefault="005C4E20" w:rsidP="005E6AB1">
            <w:pPr>
              <w:pStyle w:val="Table"/>
              <w:rPr>
                <w:rFonts w:eastAsia="Calibri"/>
                <w:lang w:eastAsia="en-US"/>
              </w:rPr>
            </w:pPr>
            <w:r w:rsidRPr="00111267">
              <w:t>- протяженность автомобильных дорог, в отношении которых будет проведена паспортизация дорог общего пользования местного значения</w:t>
            </w:r>
          </w:p>
        </w:tc>
      </w:tr>
      <w:tr w:rsidR="005C4E20" w:rsidRPr="00BA6DCA" w:rsidTr="005E6AB1"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lastRenderedPageBreak/>
              <w:t>7. Сроки и этапы реализации муниципальной программы</w:t>
            </w:r>
          </w:p>
        </w:tc>
        <w:tc>
          <w:tcPr>
            <w:tcW w:w="2812" w:type="pct"/>
          </w:tcPr>
          <w:p w:rsidR="005C4E20" w:rsidRPr="00BA6DCA" w:rsidRDefault="005C4E20" w:rsidP="0035704A">
            <w:pPr>
              <w:pStyle w:val="Table"/>
            </w:pPr>
            <w:r w:rsidRPr="00BA6DCA">
              <w:t>Программа реализуется в один этап с 2020 по 202</w:t>
            </w:r>
            <w:r w:rsidR="0035704A">
              <w:t>7</w:t>
            </w:r>
            <w:r w:rsidRPr="00BA6DCA">
              <w:t xml:space="preserve"> год</w:t>
            </w:r>
          </w:p>
        </w:tc>
      </w:tr>
      <w:tr w:rsidR="005C4E20" w:rsidRPr="00BA6DCA" w:rsidTr="005E6AB1">
        <w:trPr>
          <w:trHeight w:val="3885"/>
        </w:trPr>
        <w:tc>
          <w:tcPr>
            <w:tcW w:w="2188" w:type="pct"/>
          </w:tcPr>
          <w:p w:rsidR="005C4E20" w:rsidRPr="00BA6DCA" w:rsidRDefault="005C4E20" w:rsidP="005E6AB1">
            <w:pPr>
              <w:pStyle w:val="Table"/>
            </w:pPr>
            <w:r w:rsidRPr="00BA6DCA">
              <w:t>8. Объемы и источники финансирования муниципальной программы</w:t>
            </w:r>
          </w:p>
        </w:tc>
        <w:tc>
          <w:tcPr>
            <w:tcW w:w="2812" w:type="pct"/>
          </w:tcPr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>Общий объем финансирования реализации Программы из бюджета муниципального образования городское поселение «Город Малоярославец» составит, в том числе по годам: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>2020 год  -     4 279,881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2021 год  -       731,059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2022 год  -    1 480,733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2023 год  -       660,813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2024 год  -       956,209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2025 год  -     1 423,422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 2026 год  -     1 106,202    тыс. рублей,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 xml:space="preserve">2027 год  -      1 106,202    </w:t>
            </w:r>
            <w:proofErr w:type="spellStart"/>
            <w:r w:rsidRPr="00905478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905478">
              <w:rPr>
                <w:rFonts w:ascii="Arial" w:hAnsi="Arial" w:cs="Arial"/>
                <w:szCs w:val="24"/>
              </w:rPr>
              <w:t>.р</w:t>
            </w:r>
            <w:proofErr w:type="gramEnd"/>
            <w:r w:rsidRPr="00905478">
              <w:rPr>
                <w:rFonts w:ascii="Arial" w:hAnsi="Arial" w:cs="Arial"/>
                <w:szCs w:val="24"/>
              </w:rPr>
              <w:t>ублей</w:t>
            </w:r>
            <w:proofErr w:type="spellEnd"/>
            <w:r w:rsidRPr="00905478">
              <w:rPr>
                <w:rFonts w:ascii="Arial" w:hAnsi="Arial" w:cs="Arial"/>
                <w:szCs w:val="24"/>
              </w:rPr>
              <w:t>,</w:t>
            </w:r>
          </w:p>
          <w:p w:rsidR="006A7466" w:rsidRPr="00905478" w:rsidRDefault="006A7466" w:rsidP="006A7466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05478">
              <w:rPr>
                <w:rFonts w:ascii="Arial" w:hAnsi="Arial" w:cs="Arial"/>
                <w:szCs w:val="24"/>
              </w:rPr>
              <w:t>Итого –         11 744,521    тыс. рублей</w:t>
            </w:r>
          </w:p>
          <w:p w:rsidR="005C4E20" w:rsidRPr="00BA6DCA" w:rsidRDefault="006A7466" w:rsidP="006A7466">
            <w:pPr>
              <w:pStyle w:val="Table"/>
            </w:pPr>
            <w:r w:rsidRPr="00535208">
              <w:rPr>
                <w:sz w:val="26"/>
                <w:szCs w:val="26"/>
              </w:rPr>
              <w:t>Объемы финансирования могут уточнят</w:t>
            </w:r>
            <w:r>
              <w:rPr>
                <w:sz w:val="26"/>
                <w:szCs w:val="26"/>
              </w:rPr>
              <w:t>ь</w:t>
            </w:r>
            <w:r w:rsidRPr="00535208">
              <w:rPr>
                <w:sz w:val="26"/>
                <w:szCs w:val="26"/>
              </w:rPr>
              <w:t>ся в соответствии с бюджетным законодательством</w:t>
            </w:r>
          </w:p>
        </w:tc>
      </w:tr>
    </w:tbl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DB074E" w:rsidRDefault="005C4E20" w:rsidP="00DB074E">
      <w:pPr>
        <w:spacing w:after="200"/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В соответствии с Федеральным законом от 06.10.2003 </w:t>
      </w:r>
      <w:hyperlink r:id="rId41" w:tooltip="Об общих принципах организации местного самоуправления в Российской" w:history="1">
        <w:r w:rsidRPr="00584D9A">
          <w:rPr>
            <w:rStyle w:val="a9"/>
            <w:rFonts w:cs="Arial"/>
          </w:rPr>
          <w:t>№ 131-ФЗ «Об общих принципах организации местного самоуправления в Российской Федерации»</w:t>
        </w:r>
      </w:hyperlink>
      <w:r w:rsidRPr="00BA6DCA">
        <w:rPr>
          <w:rFonts w:cs="Arial"/>
        </w:rPr>
        <w:t xml:space="preserve"> к вопросам местного значения поселения относится владение, пользование и распоряжение имуществом, находящимся в муниципальной собственности поселения.        </w:t>
      </w:r>
    </w:p>
    <w:p w:rsidR="005C4E20" w:rsidRPr="00BA6DCA" w:rsidRDefault="005C4E20" w:rsidP="005C4E20">
      <w:pPr>
        <w:ind w:firstLine="708"/>
      </w:pPr>
      <w:r w:rsidRPr="00BA6DCA">
        <w:t xml:space="preserve">Управление муниципальным имуществом </w:t>
      </w:r>
      <w:r w:rsidRPr="00255799">
        <w:t xml:space="preserve">муниципального образования городское поселение </w:t>
      </w:r>
      <w:r w:rsidRPr="00BA6DCA">
        <w:t xml:space="preserve">"Город Малоярославец" является неотъемлемой частью деятельности администрации </w:t>
      </w:r>
      <w:r w:rsidRPr="00255799">
        <w:t>муниципального образования городское поселение</w:t>
      </w:r>
      <w:r w:rsidRPr="00BA6DCA">
        <w:t xml:space="preserve"> "Города Малоярославец"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     </w:t>
      </w:r>
    </w:p>
    <w:p w:rsidR="005C4E20" w:rsidRPr="00BA6DCA" w:rsidRDefault="005C4E20" w:rsidP="005C4E20">
      <w:pPr>
        <w:ind w:firstLine="708"/>
      </w:pPr>
      <w:r w:rsidRPr="00BA6DCA">
        <w:lastRenderedPageBreak/>
        <w:t xml:space="preserve">Одним из основных приоритетов социально-экономического развития  муниципального образования является  увеличение бюджетных  доходов  на основе экономического роста и развития неналогового потенциала. Главной целью деятельности органов местного самоуправления и стратегической  задачей муниципальной политики является  социально-экономическое  развитие территории муниципального образования. Необходимо повышение уровня собираемости неналоговых доходов, совершенствование учёта имущества, осуществление </w:t>
      </w:r>
      <w:proofErr w:type="gramStart"/>
      <w:r w:rsidRPr="00BA6DCA">
        <w:t>контроля за</w:t>
      </w:r>
      <w:proofErr w:type="gramEnd"/>
      <w:r w:rsidRPr="00BA6DCA">
        <w:t xml:space="preserve"> фактическим наличием, состоянием, использованием по назначению и сохранностью муниципального имущества и земельных участков, вовлечение объектов недвижимости в хозяйственный оборот, создание  предпосылок экономического и социального развития </w:t>
      </w:r>
      <w:r w:rsidRPr="00BA6DCA">
        <w:rPr>
          <w:rFonts w:cs="Arial"/>
        </w:rPr>
        <w:t>муниципального образования городское поселение</w:t>
      </w:r>
      <w:r w:rsidRPr="00BA6DCA">
        <w:t xml:space="preserve"> "Город Малоярославец".</w:t>
      </w:r>
    </w:p>
    <w:p w:rsidR="005C4E20" w:rsidRPr="00BA6DCA" w:rsidRDefault="005C4E20" w:rsidP="005C4E20">
      <w:pPr>
        <w:ind w:firstLine="708"/>
      </w:pPr>
      <w:r w:rsidRPr="00BA6DCA">
        <w:t xml:space="preserve">Одним из средств повышения эффективности использования и развития муниципальной собственности является оптимизация ее структуры. Реализуя это направление, необходимо сокращать часть муниципального имущества, не используемого (невостребованного) для выполнения  закрепленных  за  органом местного самоуправления полномочий. </w:t>
      </w:r>
    </w:p>
    <w:p w:rsidR="005C4E20" w:rsidRPr="00BA6DCA" w:rsidRDefault="005C4E20" w:rsidP="005C4E20">
      <w:pPr>
        <w:ind w:firstLine="708"/>
      </w:pPr>
      <w:r w:rsidRPr="00BA6DCA">
        <w:t>Управление  муниципальной  собственностью основывается  на  принципах строгого соответствия состава муниципального имущества полномочиям органов местного самоуправления и  обеспечения  эффективности  использования имущества при оптимальном уровне расходов на управление.  Эффективное использование муниципального имущества,  прежде  всего, заключается  в обеспечении  осуществления всех необходимых  функций  муниципального образования, а также вовлечения имущества в хозяйственный оборот.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  этой  связи  следует отметить  ряд  проблем, решение  которых  позволит более эффективно управлять муниципальной  собственностью муниципального образования городское поселение "Город Малоярославец", иметь объективную информацию об объектах муниципальной собственности: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1. Недостаточный  уровень  обеспечения  объектов  муниципальной собственности актуальной технической документации  и правоустанавливающими документами.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Причины возникновения проблемы: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наличие неактуальной технической документации на объекты недвижимости, необходимой для проведения государственной регистрации права, либо полное отсутствие технической документации;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</w:t>
      </w:r>
      <w:r>
        <w:rPr>
          <w:rFonts w:cs="Arial"/>
        </w:rPr>
        <w:t xml:space="preserve"> выявление  бесхозяйного </w:t>
      </w:r>
      <w:r w:rsidRPr="00BA6DCA">
        <w:rPr>
          <w:rFonts w:cs="Arial"/>
        </w:rPr>
        <w:t>имущества,  влекущее обязанность  по оформлению  права  муниципальной  собственности на  такое имущество  в установленном порядке.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 процессе управления муниципальной собственностью выявляется необходимость актуализации технической документации на объекты муниципальной собственности, в отношении которых техническая инвентаризация не проводилась, в целях уточнения технических характеристик для  последующего совершения  сделок  по  приватизации,  регистрации долгосрочных договоров аренды.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Одной из важнейших задач в части реализации полномочий по управлению муниципальным имуществом является проведение мероприятий по признанию права муниципальной собственности на бесхозяйные объекты недвижимости (в том числе жил</w:t>
      </w:r>
      <w:r>
        <w:rPr>
          <w:rFonts w:cs="Arial"/>
        </w:rPr>
        <w:t xml:space="preserve">ищно-коммунального  хозяйства, </w:t>
      </w:r>
      <w:r w:rsidRPr="00BA6DCA">
        <w:rPr>
          <w:rFonts w:cs="Arial"/>
        </w:rPr>
        <w:t>дороги общего  пользования местного значения).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Процесс выявления и  последующего оформления в муниципальную собственность бесхозяйного недвижимого имущества  является непрерывным  и требует  материальных затрат  из бюджета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  на  проведение технической инвентаризации выявленного бесхозяйного имущества.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Кроме того, необходимо проводить работы по технической инвентаризации автомобильных дорог местного значения, иных объектов инженерной инфраструктуры, </w:t>
      </w:r>
      <w:r w:rsidRPr="00BA6DCA">
        <w:rPr>
          <w:rFonts w:cs="Arial"/>
        </w:rPr>
        <w:lastRenderedPageBreak/>
        <w:t xml:space="preserve">обеспечивающих жизнедеятельность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Малоярославец";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2. Наличие в муниципальной собственности имущества, не предназначенного для решения вопросов местного значения, либо невостребованного органами местного самоуправления;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3. Низкий уровень коммерческой привлекательности муниципальных объектов, предлагаемых к приватизации.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Учитывая системное сокращение физического объема муниципальной собственности и перехода ее в  частную собственность, динамика  поступления доходов по остальным источникам в основном имеет тенденцию лишь несущественного роста. Прогноз повышения доходности от  распоряжения муниципальной собственностью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>"Город Малоярославец" возможен благодаря реализации программных мероприятий, которые позволят</w:t>
      </w:r>
      <w:r>
        <w:rPr>
          <w:rFonts w:cs="Arial"/>
        </w:rPr>
        <w:t xml:space="preserve"> повысить </w:t>
      </w:r>
      <w:r w:rsidRPr="00BA6DCA">
        <w:rPr>
          <w:rFonts w:cs="Arial"/>
        </w:rPr>
        <w:t>эффективность управления муниципальным имуществом.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Муниципальная программа представляет собой комплексный план действий по внедрению и использованию современных методов, механизмов и инструментов в организации управления имущественными ресурсами на территории городского поселения.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Решение  вышеуказанных  проблем в рамках  муниципальной  программы позволит увеличить  доходную  часть  бюджета  </w:t>
      </w:r>
      <w:r w:rsidRPr="00255799">
        <w:rPr>
          <w:rFonts w:cs="Arial"/>
        </w:rPr>
        <w:t xml:space="preserve">муниципального образования городское поселение </w:t>
      </w:r>
      <w:r w:rsidRPr="00BA6DCA">
        <w:rPr>
          <w:rFonts w:cs="Arial"/>
        </w:rPr>
        <w:t xml:space="preserve">"Город Малоярославец", а  также значительно повысит эффективность расходования бюджетных средств, качество управления муниципальной собственностью. 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Выполнению поставленных задач могут препятствовать кризисные явления в экономике: недостаточные объёмы финансирования мероприятий муниципальной программы, несвоевременно принятые нормативные правовые акты, изменения нормативов отчислений доходов  от сдачи в аренду и продажи имущества, неисполнение  договорных обязательств  арендаторами и прочие обстоятельства.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 xml:space="preserve">Таким образом, исходя  из  задач  муниципальной </w:t>
      </w:r>
      <w:proofErr w:type="gramStart"/>
      <w:r w:rsidRPr="00BA6DCA">
        <w:rPr>
          <w:rFonts w:cs="Arial"/>
        </w:rPr>
        <w:t>политики на</w:t>
      </w:r>
      <w:proofErr w:type="gramEnd"/>
      <w:r w:rsidRPr="00BA6DCA">
        <w:rPr>
          <w:rFonts w:cs="Arial"/>
        </w:rPr>
        <w:t xml:space="preserve"> ближайший период, необходима разработка муниципальной программы «Управление муниципальным имуществом муниципального образования городское поселение "Город Малоярославец". Использование программно-целевого метода позволит обеспечить реализацию программы по срокам, ресурсам, исполнителям, и организовать </w:t>
      </w:r>
      <w:proofErr w:type="gramStart"/>
      <w:r w:rsidRPr="00BA6DCA">
        <w:rPr>
          <w:rFonts w:cs="Arial"/>
        </w:rPr>
        <w:t>контроль за</w:t>
      </w:r>
      <w:proofErr w:type="gramEnd"/>
      <w:r w:rsidRPr="00BA6DCA">
        <w:rPr>
          <w:rFonts w:cs="Arial"/>
        </w:rPr>
        <w:t xml:space="preserve"> её исполнением.</w:t>
      </w:r>
    </w:p>
    <w:p w:rsidR="005C4E20" w:rsidRPr="00BA6DCA" w:rsidRDefault="005C4E20" w:rsidP="005C4E20">
      <w:pPr>
        <w:spacing w:after="200"/>
        <w:ind w:firstLine="0"/>
        <w:rPr>
          <w:rFonts w:cs="Arial"/>
          <w:b/>
        </w:rPr>
      </w:pPr>
    </w:p>
    <w:p w:rsidR="005C4E20" w:rsidRPr="00DB074E" w:rsidRDefault="005C4E20" w:rsidP="00DB074E">
      <w:pPr>
        <w:spacing w:after="200"/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t xml:space="preserve">2. Цели, задачи и индикаторы (показатели) достижения целей и решения задач муниципальной программы 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Приоритетами концепции в сфере управления муниципальным имуществом и исполнения муниципальной программы являются: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создание оптимальной структуры муниципальной собственности, отвечающей функциям (полномочиям) органов местного самоуправления;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 совершенствование процессов учета муниципального имущества для эффективного управления им;</w:t>
      </w:r>
    </w:p>
    <w:p w:rsidR="005C4E20" w:rsidRPr="00BA6DCA" w:rsidRDefault="005C4E20" w:rsidP="005C4E20">
      <w:pPr>
        <w:tabs>
          <w:tab w:val="left" w:pos="7740"/>
        </w:tabs>
        <w:ind w:firstLine="0"/>
        <w:rPr>
          <w:rFonts w:cs="Arial"/>
        </w:rPr>
      </w:pPr>
      <w:r w:rsidRPr="00BA6DCA">
        <w:rPr>
          <w:rFonts w:cs="Arial"/>
        </w:rPr>
        <w:t>-  повышение  эффективности использования  муниципального  имущества,  обеспечение его сохранности;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 работа по выявлению объектов, имеющих признаки бесхозяйных, с целью обеспечения их стабильного функционирования</w:t>
      </w:r>
    </w:p>
    <w:p w:rsidR="005C4E20" w:rsidRPr="00BA6DCA" w:rsidRDefault="005C4E20" w:rsidP="005C4E20">
      <w:pPr>
        <w:autoSpaceDE w:val="0"/>
        <w:autoSpaceDN w:val="0"/>
        <w:adjustRightInd w:val="0"/>
        <w:ind w:firstLine="708"/>
        <w:rPr>
          <w:rFonts w:cs="Arial"/>
        </w:rPr>
      </w:pPr>
      <w:r w:rsidRPr="00BA6DCA">
        <w:rPr>
          <w:rFonts w:cs="Arial"/>
        </w:rPr>
        <w:t>Целью муниципальной программы является</w:t>
      </w:r>
      <w:r w:rsidRPr="00BA6DCA">
        <w:rPr>
          <w:rFonts w:eastAsia="Calibri" w:cs="Arial"/>
          <w:lang w:eastAsia="en-US"/>
        </w:rPr>
        <w:t xml:space="preserve"> эффективное управление и распоряжение муниципальным имуществом и земельными ресурсами,  обеспечение его сохранности и целевого использования</w:t>
      </w:r>
      <w:r w:rsidRPr="00BA6DCA">
        <w:rPr>
          <w:rFonts w:cs="Arial"/>
        </w:rPr>
        <w:t xml:space="preserve"> </w:t>
      </w:r>
    </w:p>
    <w:p w:rsidR="005C4E20" w:rsidRPr="00BA6DCA" w:rsidRDefault="005C4E20" w:rsidP="005C4E20">
      <w:pPr>
        <w:widowControl w:val="0"/>
        <w:autoSpaceDE w:val="0"/>
        <w:autoSpaceDN w:val="0"/>
        <w:ind w:firstLine="708"/>
        <w:rPr>
          <w:rFonts w:cs="Arial"/>
        </w:rPr>
      </w:pPr>
      <w:r w:rsidRPr="00BA6DCA">
        <w:rPr>
          <w:rFonts w:cs="Arial"/>
        </w:rPr>
        <w:t>Для достижения поставленной цели будут решаться следующие задачи: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lastRenderedPageBreak/>
        <w:t xml:space="preserve"> - совершенствование системы учета объектов муниципальной собственности в казне и реестре  муниципального имущества;</w:t>
      </w:r>
    </w:p>
    <w:p w:rsidR="005C4E20" w:rsidRPr="00BA6DCA" w:rsidRDefault="005C4E20" w:rsidP="005C4E20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  <w:r w:rsidRPr="00BA6DCA">
        <w:rPr>
          <w:rFonts w:cs="Arial"/>
        </w:rPr>
        <w:t>- в</w:t>
      </w:r>
      <w:r w:rsidRPr="00BA6DCA">
        <w:rPr>
          <w:rFonts w:eastAsia="Calibri" w:cs="Arial"/>
          <w:lang w:eastAsia="en-US"/>
        </w:rPr>
        <w:t>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</w:r>
    </w:p>
    <w:p w:rsidR="005C4E20" w:rsidRPr="00BA6DCA" w:rsidRDefault="005C4E20" w:rsidP="005C4E20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  <w:r w:rsidRPr="00BA6DCA">
        <w:rPr>
          <w:rFonts w:eastAsia="Calibri" w:cs="Arial"/>
          <w:lang w:eastAsia="en-US"/>
        </w:rPr>
        <w:t>- проведение сбалансированной политики в сфере приватизации муниципального имущества</w:t>
      </w:r>
    </w:p>
    <w:p w:rsidR="005C4E20" w:rsidRPr="00BA6DCA" w:rsidRDefault="005C4E20" w:rsidP="005C4E20">
      <w:pPr>
        <w:widowControl w:val="0"/>
        <w:autoSpaceDE w:val="0"/>
        <w:autoSpaceDN w:val="0"/>
        <w:adjustRightInd w:val="0"/>
        <w:spacing w:after="200"/>
        <w:ind w:firstLine="708"/>
        <w:rPr>
          <w:rFonts w:cs="Arial"/>
        </w:rPr>
      </w:pPr>
      <w:r w:rsidRPr="00BA6DCA">
        <w:rPr>
          <w:rFonts w:cs="Arial"/>
        </w:rPr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    </w:t>
      </w:r>
    </w:p>
    <w:p w:rsidR="005C4E20" w:rsidRPr="00BA6DCA" w:rsidRDefault="005C4E20" w:rsidP="005C4E20">
      <w:pPr>
        <w:ind w:firstLine="0"/>
        <w:rPr>
          <w:rFonts w:cs="Arial"/>
        </w:rPr>
        <w:sectPr w:rsidR="005C4E20" w:rsidRPr="00BA6DCA" w:rsidSect="007A567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4E20" w:rsidRPr="008F363D" w:rsidRDefault="005C4E20" w:rsidP="008F363D">
      <w:pPr>
        <w:jc w:val="center"/>
        <w:rPr>
          <w:rFonts w:cs="Arial"/>
          <w:b/>
          <w:bCs/>
          <w:iCs/>
          <w:sz w:val="30"/>
          <w:szCs w:val="28"/>
        </w:rPr>
      </w:pPr>
      <w:r w:rsidRPr="008F363D">
        <w:rPr>
          <w:rFonts w:cs="Arial"/>
          <w:b/>
          <w:bCs/>
          <w:iCs/>
          <w:sz w:val="30"/>
          <w:szCs w:val="28"/>
        </w:rPr>
        <w:lastRenderedPageBreak/>
        <w:t>СВЕДЕНИЯ</w:t>
      </w:r>
    </w:p>
    <w:p w:rsidR="005C4E20" w:rsidRPr="008F363D" w:rsidRDefault="005C4E20" w:rsidP="008F363D">
      <w:pPr>
        <w:jc w:val="center"/>
        <w:rPr>
          <w:rFonts w:cs="Arial"/>
          <w:b/>
          <w:bCs/>
          <w:iCs/>
          <w:sz w:val="30"/>
          <w:szCs w:val="28"/>
        </w:rPr>
      </w:pPr>
      <w:r w:rsidRPr="008F363D">
        <w:rPr>
          <w:rFonts w:cs="Arial"/>
          <w:b/>
          <w:bCs/>
          <w:iCs/>
          <w:sz w:val="30"/>
          <w:szCs w:val="28"/>
        </w:rPr>
        <w:t>ОБ ИНДИКАТОРАХ (ПОКАЗАТЕЛЕЙ) МУНИЦИПАЛЬНОЙ ПРОГРАММЫ И ИХ ЗНАЧЕНИЕ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889"/>
        <w:gridCol w:w="994"/>
        <w:gridCol w:w="991"/>
        <w:gridCol w:w="1023"/>
        <w:gridCol w:w="1085"/>
        <w:gridCol w:w="943"/>
        <w:gridCol w:w="943"/>
        <w:gridCol w:w="943"/>
        <w:gridCol w:w="831"/>
        <w:gridCol w:w="949"/>
        <w:gridCol w:w="795"/>
        <w:gridCol w:w="787"/>
      </w:tblGrid>
      <w:tr w:rsidR="000673C8" w:rsidRPr="005744F5" w:rsidTr="003D59DB">
        <w:trPr>
          <w:trHeight w:val="315"/>
        </w:trPr>
        <w:tc>
          <w:tcPr>
            <w:tcW w:w="207" w:type="pct"/>
            <w:shd w:val="clear" w:color="auto" w:fill="auto"/>
            <w:vAlign w:val="center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№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Наименование мероприятия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Ед. изм.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2018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2019</w:t>
            </w:r>
          </w:p>
        </w:tc>
        <w:tc>
          <w:tcPr>
            <w:tcW w:w="367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2020</w:t>
            </w:r>
          </w:p>
        </w:tc>
        <w:tc>
          <w:tcPr>
            <w:tcW w:w="319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2021</w:t>
            </w:r>
          </w:p>
        </w:tc>
        <w:tc>
          <w:tcPr>
            <w:tcW w:w="319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2022</w:t>
            </w:r>
          </w:p>
        </w:tc>
        <w:tc>
          <w:tcPr>
            <w:tcW w:w="319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2023</w:t>
            </w:r>
          </w:p>
        </w:tc>
        <w:tc>
          <w:tcPr>
            <w:tcW w:w="281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2024</w:t>
            </w:r>
          </w:p>
        </w:tc>
        <w:tc>
          <w:tcPr>
            <w:tcW w:w="321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0"/>
            </w:pPr>
            <w:r w:rsidRPr="005744F5">
              <w:t>2025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0"/>
            </w:pPr>
            <w:r w:rsidRPr="005744F5">
              <w:t>2026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0"/>
            </w:pPr>
            <w:r w:rsidRPr="005744F5">
              <w:t>2027</w:t>
            </w:r>
          </w:p>
        </w:tc>
      </w:tr>
      <w:tr w:rsidR="000673C8" w:rsidRPr="005744F5" w:rsidTr="003D59DB">
        <w:trPr>
          <w:trHeight w:val="1260"/>
        </w:trPr>
        <w:tc>
          <w:tcPr>
            <w:tcW w:w="20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1.</w:t>
            </w:r>
          </w:p>
        </w:tc>
        <w:tc>
          <w:tcPr>
            <w:tcW w:w="131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Количество земельных участков, в отношении которых будут проведены кадастровые работы по межеванию  для государственной регистрации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ед.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12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17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45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30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</w:tr>
      <w:tr w:rsidR="000673C8" w:rsidRPr="005744F5" w:rsidTr="003D59DB">
        <w:trPr>
          <w:trHeight w:val="1350"/>
        </w:trPr>
        <w:tc>
          <w:tcPr>
            <w:tcW w:w="20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2.</w:t>
            </w:r>
          </w:p>
        </w:tc>
        <w:tc>
          <w:tcPr>
            <w:tcW w:w="131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Количество объектов, подлежащих независимой оценке имущества, признание прав и урегулирование отношений по муниципальной собственности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ед.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16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50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50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43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</w:tr>
      <w:tr w:rsidR="000673C8" w:rsidRPr="005744F5" w:rsidTr="003D59DB">
        <w:trPr>
          <w:trHeight w:val="1245"/>
        </w:trPr>
        <w:tc>
          <w:tcPr>
            <w:tcW w:w="20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3.</w:t>
            </w:r>
          </w:p>
        </w:tc>
        <w:tc>
          <w:tcPr>
            <w:tcW w:w="131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Количество объектов недвижимости, в отношении которых будут проведены кадастровые работы по проведению технической инвентаризации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ед.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12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25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"/>
            </w:pPr>
            <w:r w:rsidRPr="005744F5">
              <w:t>10</w:t>
            </w:r>
          </w:p>
        </w:tc>
      </w:tr>
      <w:tr w:rsidR="000673C8" w:rsidRPr="005744F5" w:rsidTr="003D59DB">
        <w:trPr>
          <w:trHeight w:val="975"/>
        </w:trPr>
        <w:tc>
          <w:tcPr>
            <w:tcW w:w="20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4.</w:t>
            </w:r>
          </w:p>
        </w:tc>
        <w:tc>
          <w:tcPr>
            <w:tcW w:w="131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 xml:space="preserve">Количество объектов муниципального имущества, снятых с государственного кадастрового учета   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ед.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4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"/>
            </w:pPr>
            <w:r w:rsidRPr="005744F5">
              <w:t>3</w:t>
            </w:r>
          </w:p>
        </w:tc>
      </w:tr>
      <w:tr w:rsidR="000673C8" w:rsidRPr="005744F5" w:rsidTr="003D59DB">
        <w:trPr>
          <w:trHeight w:val="975"/>
        </w:trPr>
        <w:tc>
          <w:tcPr>
            <w:tcW w:w="207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5.</w:t>
            </w:r>
          </w:p>
        </w:tc>
        <w:tc>
          <w:tcPr>
            <w:tcW w:w="131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 xml:space="preserve">Протяженность автомобильных дорог, в отношении которых проведена паспортизация дорог общего пользования местного значения </w:t>
            </w:r>
          </w:p>
        </w:tc>
        <w:tc>
          <w:tcPr>
            <w:tcW w:w="33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км</w:t>
            </w:r>
          </w:p>
        </w:tc>
        <w:tc>
          <w:tcPr>
            <w:tcW w:w="335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6</w:t>
            </w:r>
          </w:p>
        </w:tc>
        <w:tc>
          <w:tcPr>
            <w:tcW w:w="346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367" w:type="pct"/>
            <w:shd w:val="clear" w:color="auto" w:fill="auto"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0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0673C8" w:rsidRPr="005744F5" w:rsidRDefault="000673C8" w:rsidP="003D59DB">
            <w:pPr>
              <w:pStyle w:val="Table"/>
            </w:pPr>
            <w:r w:rsidRPr="005744F5">
              <w:t>20</w:t>
            </w:r>
          </w:p>
        </w:tc>
        <w:tc>
          <w:tcPr>
            <w:tcW w:w="269" w:type="pct"/>
          </w:tcPr>
          <w:p w:rsidR="000673C8" w:rsidRPr="005744F5" w:rsidRDefault="000673C8" w:rsidP="003D59DB">
            <w:pPr>
              <w:pStyle w:val="Table"/>
            </w:pPr>
            <w:r w:rsidRPr="005744F5">
              <w:t>20</w:t>
            </w:r>
          </w:p>
        </w:tc>
        <w:tc>
          <w:tcPr>
            <w:tcW w:w="266" w:type="pct"/>
          </w:tcPr>
          <w:p w:rsidR="000673C8" w:rsidRPr="005744F5" w:rsidRDefault="000673C8" w:rsidP="003D59DB">
            <w:pPr>
              <w:pStyle w:val="Table"/>
            </w:pPr>
            <w:r w:rsidRPr="005744F5">
              <w:t>20</w:t>
            </w:r>
          </w:p>
        </w:tc>
      </w:tr>
    </w:tbl>
    <w:p w:rsidR="005C4E20" w:rsidRDefault="005C4E20" w:rsidP="005C4E20">
      <w:pPr>
        <w:ind w:firstLine="0"/>
        <w:rPr>
          <w:rFonts w:cs="Arial"/>
        </w:rPr>
      </w:pPr>
    </w:p>
    <w:p w:rsidR="005C4E20" w:rsidRPr="00BA6DCA" w:rsidRDefault="005C4E20" w:rsidP="005C4E20">
      <w:pPr>
        <w:ind w:firstLine="0"/>
        <w:rPr>
          <w:rFonts w:cs="Arial"/>
        </w:rPr>
        <w:sectPr w:rsidR="005C4E20" w:rsidRPr="00BA6DCA" w:rsidSect="000673C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C4E20" w:rsidRPr="00DB074E" w:rsidRDefault="005C4E20" w:rsidP="008F363D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DB074E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</w:rPr>
        <w:t>Достижение цели муниципальной программы и решение поставленных в  ней задач обеспечиваются реализацией программных мероприятий. 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5C4E20" w:rsidRPr="00BA6DCA" w:rsidRDefault="005C4E20" w:rsidP="005C4E20">
      <w:pPr>
        <w:ind w:firstLine="708"/>
        <w:rPr>
          <w:rFonts w:cs="Arial"/>
          <w:u w:val="single"/>
        </w:rPr>
      </w:pPr>
      <w:r w:rsidRPr="00BA6DCA">
        <w:rPr>
          <w:rFonts w:cs="Arial"/>
          <w:u w:val="single"/>
        </w:rPr>
        <w:t xml:space="preserve">Задача по совершенствованию </w:t>
      </w:r>
      <w:proofErr w:type="gramStart"/>
      <w:r w:rsidRPr="00BA6DCA">
        <w:rPr>
          <w:rFonts w:cs="Arial"/>
          <w:u w:val="single"/>
        </w:rPr>
        <w:t xml:space="preserve">системы учета объектов муниципальной собственности </w:t>
      </w:r>
      <w:r w:rsidRPr="00255799">
        <w:rPr>
          <w:rFonts w:cs="Arial"/>
          <w:u w:val="single"/>
        </w:rPr>
        <w:t>муниципального образования</w:t>
      </w:r>
      <w:proofErr w:type="gramEnd"/>
      <w:r w:rsidRPr="00255799">
        <w:rPr>
          <w:rFonts w:cs="Arial"/>
          <w:u w:val="single"/>
        </w:rPr>
        <w:t xml:space="preserve"> городское поселение </w:t>
      </w:r>
      <w:r w:rsidRPr="00BA6DCA">
        <w:rPr>
          <w:rFonts w:cs="Arial"/>
          <w:u w:val="single"/>
        </w:rPr>
        <w:t>"Город Малоярославец" реализуется за счет мероприятий: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формированию Реестра объектов муниципальной собственности муниципального образования городское поселение «Город Малоярославец" (далее – Реестр),  внедрению и содержанию программного комплекса по учету  и  управлению  муниципальным имуществом и представления  сведений о нём;</w:t>
      </w:r>
    </w:p>
    <w:p w:rsidR="005C4E20" w:rsidRPr="00BA6DCA" w:rsidRDefault="005C4E20" w:rsidP="005C4E20">
      <w:pPr>
        <w:ind w:firstLine="708"/>
        <w:rPr>
          <w:rFonts w:cs="Arial"/>
          <w:u w:val="single"/>
        </w:rPr>
      </w:pPr>
      <w:r w:rsidRPr="00BA6DCA">
        <w:rPr>
          <w:rFonts w:cs="Arial"/>
          <w:u w:val="single"/>
        </w:rPr>
        <w:t xml:space="preserve">Задача по вовлечению муниципального имущества в хозяйственный оборот, обеспечению увеличения поступления в бюджет </w:t>
      </w:r>
      <w:r w:rsidRPr="00255799">
        <w:rPr>
          <w:rFonts w:cs="Arial"/>
          <w:u w:val="single"/>
        </w:rPr>
        <w:t>муниципального образования городское поселение</w:t>
      </w:r>
      <w:r w:rsidRPr="00BA6DCA">
        <w:rPr>
          <w:rFonts w:cs="Arial"/>
          <w:u w:val="single"/>
        </w:rPr>
        <w:t xml:space="preserve"> "Город Малоярославец" доходов и средств от использования и продажи муниципального имущества и земельных ресурсов реализуется за счет мероприятий: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 xml:space="preserve">- по  проведению технической инвентаризации недвижимого имущества: 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объектов казны, бесхозяйных объектов, объектов, принимаемых в муниципальную собственность, и исключаемых из государственного  кадастра недвижимости (в том числе изготовление  технических планов,  постановка  на кадастровый учет и государственная регистрация прав);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подготовке землеустроительной документации на земельные участки, находящиеся в муниципальной собственности и на земельные участки под муниципальными объектами;</w:t>
      </w:r>
    </w:p>
    <w:p w:rsidR="005C4E20" w:rsidRPr="00BA6DCA" w:rsidRDefault="005C4E20" w:rsidP="005C4E20">
      <w:pPr>
        <w:ind w:firstLine="0"/>
        <w:rPr>
          <w:rFonts w:cs="Arial"/>
        </w:rPr>
      </w:pPr>
      <w:r w:rsidRPr="00BA6DCA">
        <w:rPr>
          <w:rFonts w:cs="Arial"/>
        </w:rPr>
        <w:t>- по развитию практики предоставления в аренду имущества (недвижимого и движимого) и земельных участков  на торгах (в том числе расходы на его рыночную оценку имущества).</w:t>
      </w:r>
    </w:p>
    <w:p w:rsidR="005C4E20" w:rsidRPr="00BA6DCA" w:rsidRDefault="005C4E20" w:rsidP="005C4E20">
      <w:pPr>
        <w:ind w:firstLine="708"/>
        <w:rPr>
          <w:rFonts w:cs="Arial"/>
        </w:rPr>
      </w:pPr>
      <w:r w:rsidRPr="00BA6DCA">
        <w:rPr>
          <w:rFonts w:cs="Arial"/>
          <w:u w:val="single"/>
        </w:rPr>
        <w:t xml:space="preserve">Задача по проведению сбалансированной политики в сфере приватизации муниципального имущества и продажи земельных участков </w:t>
      </w:r>
      <w:r w:rsidRPr="00BA6DCA">
        <w:rPr>
          <w:rFonts w:cs="Arial"/>
        </w:rPr>
        <w:t>решается за счет мероприятий по реализации Прогнозного плана приватизации муниципального имущества (с учетом расходов на рыночную оценку имущества, включенного в Прогнозный план приватизации).</w:t>
      </w:r>
    </w:p>
    <w:p w:rsidR="005C4E20" w:rsidRPr="00BA6DCA" w:rsidRDefault="005C4E20" w:rsidP="005C4E20">
      <w:pPr>
        <w:ind w:firstLine="708"/>
        <w:rPr>
          <w:rFonts w:eastAsia="Calibri" w:cs="Arial"/>
          <w:bCs/>
          <w:kern w:val="28"/>
          <w:lang w:eastAsia="en-US"/>
        </w:rPr>
      </w:pPr>
      <w:r w:rsidRPr="00BA6DCA">
        <w:rPr>
          <w:rFonts w:eastAsia="Calibri" w:cs="Arial"/>
          <w:bCs/>
          <w:kern w:val="28"/>
          <w:lang w:eastAsia="en-US"/>
        </w:rPr>
        <w:t>Осуществление программных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5C4E20" w:rsidRPr="00BA6DCA" w:rsidRDefault="005C4E20" w:rsidP="005C4E20">
      <w:pPr>
        <w:ind w:firstLine="0"/>
        <w:rPr>
          <w:rFonts w:eastAsia="Calibri" w:cs="Arial"/>
          <w:bCs/>
          <w:kern w:val="28"/>
          <w:lang w:eastAsia="en-US"/>
        </w:rPr>
      </w:pPr>
    </w:p>
    <w:p w:rsidR="005C4E20" w:rsidRPr="00BA6DCA" w:rsidRDefault="005C4E20" w:rsidP="005C4E20">
      <w:pPr>
        <w:widowControl w:val="0"/>
        <w:autoSpaceDE w:val="0"/>
        <w:autoSpaceDN w:val="0"/>
        <w:ind w:left="1701" w:hanging="1701"/>
        <w:rPr>
          <w:rFonts w:cs="Arial"/>
        </w:rPr>
        <w:sectPr w:rsidR="005C4E20" w:rsidRPr="00BA6DCA" w:rsidSect="000673C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F363D" w:rsidRDefault="005C4E20" w:rsidP="00DB074E">
      <w:pPr>
        <w:widowControl w:val="0"/>
        <w:autoSpaceDE w:val="0"/>
        <w:autoSpaceDN w:val="0"/>
        <w:ind w:left="1701" w:hanging="1701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lastRenderedPageBreak/>
        <w:t>ПЕРЕЧЕНЬ</w:t>
      </w:r>
      <w:r w:rsidRPr="004558D8">
        <w:rPr>
          <w:rFonts w:cs="Arial"/>
          <w:b/>
          <w:bCs/>
          <w:iCs/>
          <w:sz w:val="30"/>
          <w:szCs w:val="28"/>
        </w:rPr>
        <w:t xml:space="preserve"> </w:t>
      </w:r>
    </w:p>
    <w:p w:rsidR="005C4E20" w:rsidRPr="00BA6DCA" w:rsidRDefault="005C4E20" w:rsidP="00DB074E">
      <w:pPr>
        <w:widowControl w:val="0"/>
        <w:autoSpaceDE w:val="0"/>
        <w:autoSpaceDN w:val="0"/>
        <w:ind w:left="1701" w:hanging="1701"/>
        <w:jc w:val="center"/>
        <w:rPr>
          <w:rFonts w:cs="Arial"/>
          <w:b/>
          <w:bCs/>
          <w:iCs/>
          <w:sz w:val="30"/>
          <w:szCs w:val="28"/>
        </w:rPr>
      </w:pPr>
      <w:r w:rsidRPr="00BA6DCA">
        <w:rPr>
          <w:rFonts w:cs="Arial"/>
          <w:b/>
          <w:bCs/>
          <w:iCs/>
          <w:sz w:val="30"/>
          <w:szCs w:val="28"/>
        </w:rPr>
        <w:t xml:space="preserve">основных мероприятий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108"/>
        <w:gridCol w:w="1671"/>
        <w:gridCol w:w="1416"/>
        <w:gridCol w:w="1479"/>
        <w:gridCol w:w="920"/>
        <w:gridCol w:w="920"/>
        <w:gridCol w:w="828"/>
        <w:gridCol w:w="846"/>
        <w:gridCol w:w="781"/>
        <w:gridCol w:w="781"/>
        <w:gridCol w:w="890"/>
        <w:gridCol w:w="843"/>
        <w:gridCol w:w="837"/>
      </w:tblGrid>
      <w:tr w:rsidR="00847761" w:rsidRPr="00847761" w:rsidTr="00041120">
        <w:trPr>
          <w:trHeight w:val="2040"/>
        </w:trPr>
        <w:tc>
          <w:tcPr>
            <w:tcW w:w="158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№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Наименование мероприятия</w:t>
            </w:r>
          </w:p>
        </w:tc>
        <w:tc>
          <w:tcPr>
            <w:tcW w:w="565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Участники муниципальной программы</w:t>
            </w: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Сроки и этапы реализации муниципальной программы»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311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Итого   Сумма расходов   тыс.</w:t>
            </w:r>
            <w:r w:rsidR="00023643">
              <w:rPr>
                <w:rFonts w:cs="Arial"/>
                <w:color w:val="000000"/>
              </w:rPr>
              <w:t xml:space="preserve"> </w:t>
            </w:r>
            <w:r w:rsidRPr="00847761">
              <w:rPr>
                <w:rFonts w:cs="Arial"/>
                <w:color w:val="000000"/>
              </w:rPr>
              <w:t>руб</w:t>
            </w:r>
            <w:r w:rsidR="00023643">
              <w:rPr>
                <w:rFonts w:cs="Arial"/>
                <w:color w:val="000000"/>
              </w:rPr>
              <w:t>.</w:t>
            </w:r>
          </w:p>
        </w:tc>
        <w:tc>
          <w:tcPr>
            <w:tcW w:w="311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</w:t>
            </w:r>
          </w:p>
        </w:tc>
        <w:tc>
          <w:tcPr>
            <w:tcW w:w="28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2021</w:t>
            </w:r>
          </w:p>
        </w:tc>
        <w:tc>
          <w:tcPr>
            <w:tcW w:w="286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2022</w:t>
            </w:r>
          </w:p>
        </w:tc>
        <w:tc>
          <w:tcPr>
            <w:tcW w:w="264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2023</w:t>
            </w:r>
          </w:p>
        </w:tc>
        <w:tc>
          <w:tcPr>
            <w:tcW w:w="264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2024</w:t>
            </w:r>
          </w:p>
        </w:tc>
        <w:tc>
          <w:tcPr>
            <w:tcW w:w="301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2027</w:t>
            </w:r>
          </w:p>
        </w:tc>
      </w:tr>
      <w:tr w:rsidR="00847761" w:rsidRPr="00847761" w:rsidTr="00041120">
        <w:trPr>
          <w:trHeight w:val="345"/>
        </w:trPr>
        <w:tc>
          <w:tcPr>
            <w:tcW w:w="5000" w:type="pct"/>
            <w:gridSpan w:val="14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47761">
              <w:rPr>
                <w:rFonts w:cs="Arial"/>
                <w:b/>
                <w:bCs/>
                <w:color w:val="000000"/>
              </w:rPr>
              <w:t>Основное мероприятие "Обеспечение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847761" w:rsidRPr="00847761" w:rsidTr="00041120">
        <w:trPr>
          <w:trHeight w:val="525"/>
        </w:trPr>
        <w:tc>
          <w:tcPr>
            <w:tcW w:w="871" w:type="pct"/>
            <w:gridSpan w:val="2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bCs/>
              </w:rPr>
            </w:pPr>
            <w:r w:rsidRPr="00847761">
              <w:rPr>
                <w:rFonts w:cs="Arial"/>
                <w:bCs/>
              </w:rPr>
              <w:t>I. Управление и распоряжение  земельным ресурсом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Отдел капитального строительства и технической инспекции,        отдел по градостроительной деятельности, архитектуре и земельным отношениям, Организации</w:t>
            </w: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</w:rPr>
            </w:pPr>
            <w:r w:rsidRPr="00847761">
              <w:rPr>
                <w:rFonts w:cs="Arial"/>
                <w:bCs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1 810,500</w:t>
            </w:r>
          </w:p>
        </w:tc>
        <w:tc>
          <w:tcPr>
            <w:tcW w:w="311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460,000</w:t>
            </w:r>
          </w:p>
        </w:tc>
        <w:tc>
          <w:tcPr>
            <w:tcW w:w="280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330,000</w:t>
            </w:r>
          </w:p>
        </w:tc>
        <w:tc>
          <w:tcPr>
            <w:tcW w:w="286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476,500</w:t>
            </w:r>
          </w:p>
        </w:tc>
        <w:tc>
          <w:tcPr>
            <w:tcW w:w="264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144,000</w:t>
            </w:r>
          </w:p>
        </w:tc>
        <w:tc>
          <w:tcPr>
            <w:tcW w:w="264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150,000</w:t>
            </w:r>
          </w:p>
        </w:tc>
        <w:tc>
          <w:tcPr>
            <w:tcW w:w="301" w:type="pct"/>
            <w:shd w:val="clear" w:color="auto" w:fill="auto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250,000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250,00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250,00</w:t>
            </w:r>
          </w:p>
        </w:tc>
      </w:tr>
      <w:tr w:rsidR="00847761" w:rsidRPr="00847761" w:rsidTr="00041120">
        <w:trPr>
          <w:trHeight w:val="1275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Кадастровые работы по межеванию земельных участков для государственной регистрации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1 266,500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460,000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330,000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476,500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870"/>
        </w:trPr>
        <w:tc>
          <w:tcPr>
            <w:tcW w:w="871" w:type="pct"/>
            <w:gridSpan w:val="2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 xml:space="preserve"> II. Управление и распоряжение объектами недвижимого имущества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230A24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4251BA">
              <w:rPr>
                <w:b/>
                <w:bCs/>
                <w:color w:val="000000"/>
                <w:sz w:val="26"/>
                <w:szCs w:val="26"/>
              </w:rPr>
              <w:t>7 239,617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3 774,881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381,059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837,233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516,813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806,209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230A24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4251BA">
              <w:rPr>
                <w:b/>
                <w:bCs/>
                <w:color w:val="000000"/>
                <w:sz w:val="26"/>
                <w:szCs w:val="26"/>
              </w:rPr>
              <w:t>923,422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856,202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856,202</w:t>
            </w:r>
          </w:p>
        </w:tc>
      </w:tr>
      <w:tr w:rsidR="00847761" w:rsidRPr="00847761" w:rsidTr="00041120">
        <w:trPr>
          <w:trHeight w:val="1560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Оценка недвижимости, признание прав и урегулирование отношений по муниципальной собственности: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641,200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355,000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150,000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136,200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1050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lastRenderedPageBreak/>
              <w:t>2.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Кадастровые работы по проведению технической инвентаризации объектов недвижимости (здания)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500,000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150,000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150,000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200,000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1095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3.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Снятие муниципального имущества с кадастрового учета (изготовление актов обследования)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10,000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10,000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540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4.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Снос аварийных зданий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150,000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0,000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150,000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1065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5.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Содержание муниципальной собственности (нежилые объекты)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675,292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300,000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81,059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294,233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540"/>
        </w:trPr>
        <w:tc>
          <w:tcPr>
            <w:tcW w:w="158" w:type="pct"/>
            <w:vMerge w:val="restar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6.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 xml:space="preserve">Выкуп муниципального имущества в </w:t>
            </w:r>
            <w:proofErr w:type="spellStart"/>
            <w:r w:rsidRPr="00847761">
              <w:rPr>
                <w:rFonts w:cs="Arial"/>
                <w:color w:val="000000"/>
              </w:rPr>
              <w:t>т.ч</w:t>
            </w:r>
            <w:proofErr w:type="spellEnd"/>
            <w:r w:rsidRPr="00847761">
              <w:rPr>
                <w:rFonts w:cs="Arial"/>
                <w:color w:val="000000"/>
              </w:rPr>
              <w:t>.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2 969,881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2 969,881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360"/>
        </w:trPr>
        <w:tc>
          <w:tcPr>
            <w:tcW w:w="158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земельного участка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958,000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958,000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390"/>
        </w:trPr>
        <w:tc>
          <w:tcPr>
            <w:tcW w:w="158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жилого помещения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2 011,881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2 011,881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840"/>
        </w:trPr>
        <w:tc>
          <w:tcPr>
            <w:tcW w:w="158" w:type="pct"/>
            <w:shd w:val="clear" w:color="auto" w:fill="auto"/>
            <w:noWrap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7.</w:t>
            </w:r>
          </w:p>
        </w:tc>
        <w:tc>
          <w:tcPr>
            <w:tcW w:w="713" w:type="pct"/>
            <w:shd w:val="clear" w:color="auto" w:fill="auto"/>
            <w:hideMark/>
          </w:tcPr>
          <w:p w:rsidR="00847761" w:rsidRPr="00847761" w:rsidRDefault="00847761" w:rsidP="00023643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 xml:space="preserve">Рецензия внесудебного эксперта на заключение судебного </w:t>
            </w:r>
            <w:r w:rsidRPr="00847761">
              <w:rPr>
                <w:rFonts w:cs="Arial"/>
                <w:color w:val="000000"/>
              </w:rPr>
              <w:lastRenderedPageBreak/>
              <w:t>экспе</w:t>
            </w:r>
            <w:r w:rsidR="00023643" w:rsidRPr="00260CED">
              <w:rPr>
                <w:rFonts w:cs="Arial"/>
                <w:color w:val="000000"/>
              </w:rPr>
              <w:t>р</w:t>
            </w:r>
            <w:r w:rsidRPr="00847761">
              <w:rPr>
                <w:rFonts w:cs="Arial"/>
                <w:color w:val="000000"/>
              </w:rPr>
              <w:t>та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46,800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46,800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585"/>
        </w:trPr>
        <w:tc>
          <w:tcPr>
            <w:tcW w:w="871" w:type="pct"/>
            <w:gridSpan w:val="2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lastRenderedPageBreak/>
              <w:t>III. Паспортизация автомобильных дорог</w:t>
            </w:r>
          </w:p>
        </w:tc>
        <w:tc>
          <w:tcPr>
            <w:tcW w:w="565" w:type="pct"/>
            <w:vMerge/>
            <w:vAlign w:val="center"/>
            <w:hideMark/>
          </w:tcPr>
          <w:p w:rsidR="00847761" w:rsidRPr="00847761" w:rsidRDefault="00847761" w:rsidP="0084776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2020-2027</w:t>
            </w:r>
          </w:p>
        </w:tc>
        <w:tc>
          <w:tcPr>
            <w:tcW w:w="500" w:type="pct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местный бюджет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482,000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45,000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20,000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167,000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250,000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color w:val="000000"/>
              </w:rPr>
            </w:pPr>
            <w:r w:rsidRPr="00847761">
              <w:rPr>
                <w:rFonts w:cs="Arial"/>
                <w:color w:val="000000"/>
              </w:rPr>
              <w:t> </w:t>
            </w:r>
          </w:p>
        </w:tc>
      </w:tr>
      <w:tr w:rsidR="00847761" w:rsidRPr="00847761" w:rsidTr="00041120">
        <w:trPr>
          <w:trHeight w:val="435"/>
        </w:trPr>
        <w:tc>
          <w:tcPr>
            <w:tcW w:w="2414" w:type="pct"/>
            <w:gridSpan w:val="5"/>
            <w:shd w:val="clear" w:color="auto" w:fill="auto"/>
            <w:hideMark/>
          </w:tcPr>
          <w:p w:rsidR="00847761" w:rsidRPr="00847761" w:rsidRDefault="00847761" w:rsidP="00847761">
            <w:pPr>
              <w:ind w:firstLine="0"/>
              <w:jc w:val="righ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47761" w:rsidRPr="00847761" w:rsidRDefault="00230A24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4251BA">
              <w:rPr>
                <w:b/>
                <w:bCs/>
                <w:color w:val="000000"/>
                <w:sz w:val="26"/>
                <w:szCs w:val="26"/>
              </w:rPr>
              <w:t>11 744,521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4 279,881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731,059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1 480,733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660,813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956,209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847761" w:rsidRPr="00847761" w:rsidRDefault="00230A24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4251BA">
              <w:rPr>
                <w:b/>
                <w:bCs/>
                <w:color w:val="000000"/>
                <w:sz w:val="26"/>
                <w:szCs w:val="26"/>
              </w:rPr>
              <w:t>1 423,422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1 106,202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847761" w:rsidRPr="00847761" w:rsidRDefault="00847761" w:rsidP="00260CED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847761">
              <w:rPr>
                <w:rFonts w:cs="Arial"/>
                <w:bCs/>
                <w:color w:val="000000"/>
              </w:rPr>
              <w:t>1 106,202</w:t>
            </w:r>
          </w:p>
        </w:tc>
      </w:tr>
    </w:tbl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BA6DCA" w:rsidRDefault="005C4E20" w:rsidP="005C4E20">
      <w:pPr>
        <w:ind w:firstLine="0"/>
        <w:rPr>
          <w:rFonts w:eastAsia="Calibri" w:cs="Arial"/>
          <w:bCs/>
          <w:kern w:val="28"/>
          <w:lang w:eastAsia="en-US"/>
        </w:rPr>
        <w:sectPr w:rsidR="005C4E20" w:rsidRPr="00BA6DCA" w:rsidSect="009A52C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C4E20" w:rsidRPr="008F363D" w:rsidRDefault="005C4E20" w:rsidP="008F363D">
      <w:pPr>
        <w:spacing w:after="200"/>
        <w:jc w:val="center"/>
        <w:rPr>
          <w:rFonts w:cs="Arial"/>
          <w:b/>
          <w:bCs/>
          <w:iCs/>
          <w:sz w:val="30"/>
          <w:szCs w:val="28"/>
        </w:rPr>
      </w:pPr>
      <w:r w:rsidRPr="008F363D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5C4E20" w:rsidRPr="00BA6DCA" w:rsidRDefault="005C4E20" w:rsidP="005C4E20">
      <w:pPr>
        <w:spacing w:after="200"/>
        <w:ind w:right="-1"/>
        <w:rPr>
          <w:b/>
          <w:bCs/>
          <w:sz w:val="26"/>
          <w:szCs w:val="28"/>
        </w:rPr>
      </w:pPr>
      <w:r w:rsidRPr="00BA6DCA">
        <w:rPr>
          <w:rFonts w:cs="Arial"/>
        </w:rPr>
        <w:t xml:space="preserve">Источниками финансового обеспечения муниципальной программы являются средства местного бюджета. </w:t>
      </w:r>
    </w:p>
    <w:p w:rsidR="00446E59" w:rsidRDefault="005C4E20" w:rsidP="00446E59">
      <w:pPr>
        <w:widowControl w:val="0"/>
        <w:autoSpaceDE w:val="0"/>
        <w:autoSpaceDN w:val="0"/>
        <w:rPr>
          <w:rFonts w:cs="Arial"/>
        </w:rPr>
      </w:pPr>
      <w:r w:rsidRPr="00BA6DCA">
        <w:rPr>
          <w:rFonts w:cs="Arial"/>
        </w:rPr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6817EF" w:rsidRPr="002D0520" w:rsidRDefault="006817EF" w:rsidP="006817EF">
      <w:pPr>
        <w:widowControl w:val="0"/>
        <w:rPr>
          <w:rFonts w:cs="Arial"/>
          <w:sz w:val="26"/>
          <w:szCs w:val="26"/>
        </w:rPr>
      </w:pPr>
      <w:r w:rsidRPr="002D0520">
        <w:rPr>
          <w:rFonts w:cs="Arial"/>
          <w:sz w:val="26"/>
          <w:szCs w:val="26"/>
        </w:rPr>
        <w:t>Общая сумма средств на реализацию программных мероприятий составляет</w:t>
      </w:r>
      <w:bookmarkStart w:id="1" w:name="_GoBack"/>
      <w:bookmarkEnd w:id="1"/>
      <w:r w:rsidRPr="002D0520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11 744,521</w:t>
      </w:r>
      <w:r w:rsidRPr="002D0520">
        <w:rPr>
          <w:sz w:val="26"/>
          <w:szCs w:val="26"/>
        </w:rPr>
        <w:t xml:space="preserve"> </w:t>
      </w:r>
      <w:r w:rsidRPr="002D0520">
        <w:rPr>
          <w:rFonts w:cs="Arial"/>
          <w:color w:val="000000"/>
          <w:sz w:val="26"/>
          <w:szCs w:val="26"/>
        </w:rPr>
        <w:t>тыс. руб., в том числе по годам из местного бюджета:</w:t>
      </w:r>
    </w:p>
    <w:p w:rsidR="006817EF" w:rsidRPr="002D0520" w:rsidRDefault="006817EF" w:rsidP="006817EF">
      <w:pPr>
        <w:widowControl w:val="0"/>
        <w:ind w:firstLine="0"/>
        <w:rPr>
          <w:rFonts w:cs="Arial"/>
          <w:color w:val="000000"/>
          <w:sz w:val="26"/>
          <w:szCs w:val="26"/>
        </w:rPr>
      </w:pPr>
      <w:r w:rsidRPr="002D0520">
        <w:rPr>
          <w:rFonts w:cs="Arial"/>
          <w:color w:val="000000"/>
          <w:sz w:val="26"/>
          <w:szCs w:val="26"/>
        </w:rPr>
        <w:t xml:space="preserve">2020 год – </w:t>
      </w:r>
      <w:r>
        <w:rPr>
          <w:rFonts w:cs="Arial"/>
          <w:color w:val="000000"/>
          <w:sz w:val="26"/>
          <w:szCs w:val="26"/>
        </w:rPr>
        <w:t xml:space="preserve"> </w:t>
      </w:r>
      <w:r w:rsidRPr="002D0520">
        <w:rPr>
          <w:sz w:val="26"/>
          <w:szCs w:val="26"/>
        </w:rPr>
        <w:t>4 279,881 тыс. рублей</w:t>
      </w:r>
      <w:r w:rsidRPr="002D0520">
        <w:rPr>
          <w:rFonts w:cs="Arial"/>
          <w:color w:val="000000"/>
          <w:sz w:val="26"/>
          <w:szCs w:val="26"/>
        </w:rPr>
        <w:t>;</w:t>
      </w:r>
    </w:p>
    <w:p w:rsidR="006817EF" w:rsidRPr="002D0520" w:rsidRDefault="006817EF" w:rsidP="006817EF">
      <w:pPr>
        <w:widowControl w:val="0"/>
        <w:ind w:firstLine="0"/>
        <w:rPr>
          <w:rFonts w:cs="Arial"/>
          <w:color w:val="000000"/>
          <w:sz w:val="26"/>
          <w:szCs w:val="26"/>
        </w:rPr>
      </w:pPr>
      <w:r w:rsidRPr="002D0520">
        <w:rPr>
          <w:rFonts w:cs="Arial"/>
          <w:color w:val="000000"/>
          <w:sz w:val="26"/>
          <w:szCs w:val="26"/>
        </w:rPr>
        <w:t>2021 год –</w:t>
      </w:r>
      <w:r>
        <w:rPr>
          <w:rFonts w:cs="Arial"/>
          <w:color w:val="000000"/>
          <w:sz w:val="26"/>
          <w:szCs w:val="26"/>
        </w:rPr>
        <w:t xml:space="preserve"> </w:t>
      </w:r>
      <w:r w:rsidRPr="002D0520">
        <w:rPr>
          <w:rFonts w:cs="Arial"/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 xml:space="preserve">   </w:t>
      </w:r>
      <w:r w:rsidRPr="002D0520">
        <w:rPr>
          <w:sz w:val="26"/>
          <w:szCs w:val="26"/>
        </w:rPr>
        <w:t xml:space="preserve">731,059 </w:t>
      </w:r>
      <w:r w:rsidRPr="002D0520">
        <w:rPr>
          <w:rFonts w:cs="Arial"/>
          <w:color w:val="000000"/>
          <w:sz w:val="26"/>
          <w:szCs w:val="26"/>
        </w:rPr>
        <w:t>тыс. рублей;</w:t>
      </w:r>
    </w:p>
    <w:p w:rsidR="006817EF" w:rsidRPr="002D0520" w:rsidRDefault="006817EF" w:rsidP="006817EF">
      <w:pPr>
        <w:widowControl w:val="0"/>
        <w:ind w:firstLine="0"/>
        <w:rPr>
          <w:rFonts w:cs="Arial"/>
          <w:color w:val="000000"/>
          <w:sz w:val="26"/>
          <w:szCs w:val="26"/>
        </w:rPr>
      </w:pPr>
      <w:r w:rsidRPr="002D0520">
        <w:rPr>
          <w:rFonts w:cs="Arial"/>
          <w:color w:val="000000"/>
          <w:sz w:val="26"/>
          <w:szCs w:val="26"/>
        </w:rPr>
        <w:t>2022 год –</w:t>
      </w:r>
      <w:r>
        <w:rPr>
          <w:rFonts w:cs="Arial"/>
          <w:color w:val="000000"/>
          <w:sz w:val="26"/>
          <w:szCs w:val="26"/>
        </w:rPr>
        <w:t xml:space="preserve"> </w:t>
      </w:r>
      <w:r w:rsidRPr="002D0520">
        <w:rPr>
          <w:rFonts w:cs="Arial"/>
          <w:color w:val="000000"/>
          <w:sz w:val="26"/>
          <w:szCs w:val="26"/>
        </w:rPr>
        <w:t xml:space="preserve"> </w:t>
      </w:r>
      <w:r w:rsidRPr="002D0520">
        <w:rPr>
          <w:sz w:val="26"/>
          <w:szCs w:val="26"/>
        </w:rPr>
        <w:t xml:space="preserve">1 480,733 </w:t>
      </w:r>
      <w:r w:rsidRPr="002D0520">
        <w:rPr>
          <w:rFonts w:cs="Arial"/>
          <w:color w:val="000000"/>
          <w:sz w:val="26"/>
          <w:szCs w:val="26"/>
        </w:rPr>
        <w:t>тыс. рублей;</w:t>
      </w:r>
    </w:p>
    <w:p w:rsidR="006817EF" w:rsidRPr="002D0520" w:rsidRDefault="006817EF" w:rsidP="006817EF">
      <w:pPr>
        <w:widowControl w:val="0"/>
        <w:ind w:firstLine="0"/>
        <w:rPr>
          <w:rFonts w:cs="Arial"/>
          <w:color w:val="000000"/>
          <w:sz w:val="26"/>
          <w:szCs w:val="26"/>
        </w:rPr>
      </w:pPr>
      <w:r w:rsidRPr="002D0520">
        <w:rPr>
          <w:rFonts w:cs="Arial"/>
          <w:color w:val="000000"/>
          <w:sz w:val="26"/>
          <w:szCs w:val="26"/>
        </w:rPr>
        <w:t>2023 год –</w:t>
      </w:r>
      <w:r>
        <w:rPr>
          <w:rFonts w:cs="Arial"/>
          <w:color w:val="000000"/>
          <w:sz w:val="26"/>
          <w:szCs w:val="26"/>
        </w:rPr>
        <w:t xml:space="preserve">    </w:t>
      </w:r>
      <w:r w:rsidRPr="002D0520">
        <w:rPr>
          <w:rFonts w:cs="Arial"/>
          <w:color w:val="000000"/>
          <w:sz w:val="26"/>
          <w:szCs w:val="26"/>
        </w:rPr>
        <w:t xml:space="preserve"> </w:t>
      </w:r>
      <w:r w:rsidRPr="002D0520">
        <w:rPr>
          <w:sz w:val="26"/>
          <w:szCs w:val="26"/>
        </w:rPr>
        <w:t>6</w:t>
      </w:r>
      <w:r>
        <w:rPr>
          <w:sz w:val="26"/>
          <w:szCs w:val="26"/>
        </w:rPr>
        <w:t>60</w:t>
      </w:r>
      <w:r w:rsidRPr="002D0520">
        <w:rPr>
          <w:sz w:val="26"/>
          <w:szCs w:val="26"/>
        </w:rPr>
        <w:t xml:space="preserve">,813 </w:t>
      </w:r>
      <w:r w:rsidRPr="002D0520">
        <w:rPr>
          <w:rFonts w:cs="Arial"/>
          <w:color w:val="000000"/>
          <w:sz w:val="26"/>
          <w:szCs w:val="26"/>
        </w:rPr>
        <w:t>тыс. рублей;</w:t>
      </w:r>
    </w:p>
    <w:p w:rsidR="006817EF" w:rsidRPr="002D0520" w:rsidRDefault="006817EF" w:rsidP="006817EF">
      <w:pPr>
        <w:widowControl w:val="0"/>
        <w:ind w:firstLine="0"/>
        <w:rPr>
          <w:rFonts w:cs="Arial"/>
          <w:color w:val="000000"/>
          <w:sz w:val="26"/>
          <w:szCs w:val="26"/>
        </w:rPr>
      </w:pPr>
      <w:r w:rsidRPr="002D0520">
        <w:rPr>
          <w:sz w:val="26"/>
          <w:szCs w:val="26"/>
        </w:rPr>
        <w:t>2024 год –</w:t>
      </w:r>
      <w:r>
        <w:rPr>
          <w:sz w:val="26"/>
          <w:szCs w:val="26"/>
        </w:rPr>
        <w:t xml:space="preserve">    </w:t>
      </w:r>
      <w:r w:rsidRPr="002D0520">
        <w:rPr>
          <w:sz w:val="26"/>
          <w:szCs w:val="26"/>
        </w:rPr>
        <w:t xml:space="preserve"> </w:t>
      </w:r>
      <w:r>
        <w:rPr>
          <w:sz w:val="26"/>
          <w:szCs w:val="26"/>
        </w:rPr>
        <w:t>956</w:t>
      </w:r>
      <w:r w:rsidRPr="002D0520">
        <w:rPr>
          <w:sz w:val="26"/>
          <w:szCs w:val="26"/>
        </w:rPr>
        <w:t>,</w:t>
      </w:r>
      <w:r>
        <w:rPr>
          <w:sz w:val="26"/>
          <w:szCs w:val="26"/>
        </w:rPr>
        <w:t>209</w:t>
      </w:r>
      <w:r w:rsidRPr="002D0520">
        <w:rPr>
          <w:sz w:val="26"/>
          <w:szCs w:val="26"/>
        </w:rPr>
        <w:t xml:space="preserve"> тыс. рублей</w:t>
      </w:r>
      <w:r w:rsidRPr="002D0520">
        <w:rPr>
          <w:rFonts w:cs="Arial"/>
          <w:color w:val="000000"/>
          <w:sz w:val="26"/>
          <w:szCs w:val="26"/>
        </w:rPr>
        <w:t>;</w:t>
      </w:r>
    </w:p>
    <w:p w:rsidR="006817EF" w:rsidRPr="006817EF" w:rsidRDefault="006817EF" w:rsidP="006817EF">
      <w:pPr>
        <w:pStyle w:val="a5"/>
        <w:jc w:val="both"/>
        <w:rPr>
          <w:rFonts w:ascii="Arial" w:hAnsi="Arial" w:cs="Arial"/>
          <w:color w:val="000000"/>
          <w:sz w:val="26"/>
          <w:szCs w:val="26"/>
        </w:rPr>
      </w:pPr>
      <w:r w:rsidRPr="006817EF">
        <w:rPr>
          <w:rFonts w:ascii="Arial" w:hAnsi="Arial" w:cs="Arial"/>
          <w:color w:val="000000"/>
          <w:sz w:val="26"/>
          <w:szCs w:val="26"/>
        </w:rPr>
        <w:t>2025 год – 1 423,422 тыс. рублей;</w:t>
      </w:r>
    </w:p>
    <w:p w:rsidR="006817EF" w:rsidRPr="006817EF" w:rsidRDefault="006817EF" w:rsidP="006817EF">
      <w:pPr>
        <w:pStyle w:val="a5"/>
        <w:jc w:val="both"/>
        <w:rPr>
          <w:rFonts w:ascii="Arial" w:hAnsi="Arial" w:cs="Arial"/>
          <w:color w:val="000000"/>
          <w:sz w:val="26"/>
          <w:szCs w:val="26"/>
        </w:rPr>
      </w:pPr>
      <w:r w:rsidRPr="006817EF">
        <w:rPr>
          <w:rFonts w:ascii="Arial" w:hAnsi="Arial" w:cs="Arial"/>
          <w:color w:val="000000"/>
          <w:sz w:val="26"/>
          <w:szCs w:val="26"/>
        </w:rPr>
        <w:t>2026 год -  1 106,202 тыс. рублей;</w:t>
      </w:r>
    </w:p>
    <w:p w:rsidR="006817EF" w:rsidRPr="006817EF" w:rsidRDefault="006817EF" w:rsidP="006817EF">
      <w:pPr>
        <w:pStyle w:val="a5"/>
        <w:jc w:val="both"/>
        <w:rPr>
          <w:rFonts w:ascii="Arial" w:hAnsi="Arial" w:cs="Arial"/>
          <w:color w:val="000000"/>
          <w:sz w:val="26"/>
          <w:szCs w:val="26"/>
        </w:rPr>
      </w:pPr>
      <w:r w:rsidRPr="006817EF">
        <w:rPr>
          <w:rFonts w:ascii="Arial" w:hAnsi="Arial" w:cs="Arial"/>
          <w:color w:val="000000"/>
          <w:sz w:val="26"/>
          <w:szCs w:val="26"/>
        </w:rPr>
        <w:t>2027 год -  1 106,202 тыс. рублей»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</w:p>
    <w:p w:rsidR="005C4E20" w:rsidRPr="008F363D" w:rsidRDefault="005C4E20" w:rsidP="008F363D">
      <w:pPr>
        <w:widowControl w:val="0"/>
        <w:autoSpaceDE w:val="0"/>
        <w:autoSpaceDN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8F363D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proofErr w:type="gramStart"/>
      <w:r w:rsidRPr="00BA6DCA">
        <w:rPr>
          <w:rFonts w:cs="Arial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>Отдел по управлению муниципальным имуществом и жилищно-коммунальному хозяйству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proofErr w:type="gramStart"/>
      <w:r w:rsidRPr="00BA6DCA">
        <w:rPr>
          <w:rFonts w:cs="Arial"/>
        </w:rPr>
        <w:t>Участниками муниципальной программы являются 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программы, отобранные в порядке, предусмотренном действующим законодательством, различных форм собственности, привлеченные на основе аукционов в элект</w:t>
      </w:r>
      <w:r>
        <w:rPr>
          <w:rFonts w:cs="Arial"/>
        </w:rPr>
        <w:t>ронной форме, запроса котировок</w:t>
      </w:r>
      <w:r w:rsidRPr="00BA6DCA">
        <w:rPr>
          <w:rFonts w:cs="Arial"/>
        </w:rPr>
        <w:t>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</w:t>
      </w:r>
      <w:proofErr w:type="gramEnd"/>
      <w:r w:rsidRPr="00BA6DCA">
        <w:rPr>
          <w:rFonts w:cs="Arial"/>
        </w:rPr>
        <w:t xml:space="preserve">, </w:t>
      </w:r>
      <w:proofErr w:type="gramStart"/>
      <w:r w:rsidRPr="00BA6DCA">
        <w:rPr>
          <w:rFonts w:cs="Arial"/>
        </w:rPr>
        <w:t>в</w:t>
      </w:r>
      <w:proofErr w:type="gramEnd"/>
      <w:r w:rsidRPr="00BA6DCA">
        <w:rPr>
          <w:rFonts w:cs="Arial"/>
        </w:rPr>
        <w:t xml:space="preserve"> </w:t>
      </w:r>
      <w:proofErr w:type="gramStart"/>
      <w:r w:rsidRPr="00BA6DCA">
        <w:rPr>
          <w:rFonts w:cs="Arial"/>
        </w:rPr>
        <w:t>которых</w:t>
      </w:r>
      <w:proofErr w:type="gramEnd"/>
      <w:r w:rsidRPr="00BA6DCA">
        <w:rPr>
          <w:rFonts w:cs="Arial"/>
        </w:rPr>
        <w:t xml:space="preserve"> принимали участие, копии соответствующих документов, подтверждающих исполнение обязательств по заключенным муниципальным контрактам.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proofErr w:type="gramStart"/>
      <w:r w:rsidRPr="00BA6DCA">
        <w:rPr>
          <w:rFonts w:cs="Arial"/>
        </w:rPr>
        <w:t xml:space="preserve">В процессе реализации муниципальной программы отдел по управлению </w:t>
      </w:r>
      <w:r w:rsidRPr="00BA6DCA">
        <w:rPr>
          <w:rFonts w:cs="Arial"/>
        </w:rPr>
        <w:lastRenderedPageBreak/>
        <w:t>муниципальным имуществом и жилищно-коммунальному хозяйству администрации по согласованию с  отделом капитального строительства и технической инспекции и отделом по градостроительной деятельности, архитектуре и земельным отношениям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</w:t>
      </w:r>
      <w:proofErr w:type="gramEnd"/>
      <w:r w:rsidRPr="00BA6DCA">
        <w:rPr>
          <w:rFonts w:cs="Arial"/>
        </w:rPr>
        <w:t xml:space="preserve"> в целом и обеспечивает внесение изменений в муниципальную программу с подготовкой соответствующих проектов постановлений администрации муниципального образования городское поселение «Город Малоярославец».</w:t>
      </w:r>
    </w:p>
    <w:p w:rsidR="005C4E20" w:rsidRPr="00BA6DCA" w:rsidRDefault="005C4E20" w:rsidP="005C4E20">
      <w:pPr>
        <w:widowControl w:val="0"/>
        <w:autoSpaceDE w:val="0"/>
        <w:autoSpaceDN w:val="0"/>
        <w:ind w:firstLine="540"/>
        <w:rPr>
          <w:rFonts w:cs="Arial"/>
        </w:rPr>
      </w:pPr>
      <w:r w:rsidRPr="00BA6DCA">
        <w:rPr>
          <w:rFonts w:cs="Arial"/>
        </w:rPr>
        <w:t xml:space="preserve">Отдел по управлению муниципальным имуществом и жилищно-коммунальному хозяйству администрации  несет ответственность </w:t>
      </w:r>
      <w:proofErr w:type="gramStart"/>
      <w:r w:rsidRPr="00BA6DCA">
        <w:rPr>
          <w:rFonts w:cs="Arial"/>
        </w:rPr>
        <w:t>за</w:t>
      </w:r>
      <w:proofErr w:type="gramEnd"/>
      <w:r w:rsidRPr="00BA6DCA">
        <w:rPr>
          <w:rFonts w:cs="Arial"/>
        </w:rPr>
        <w:t>: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достижение целевых индикаторов муниципальной программы, их достоверность;</w:t>
      </w:r>
    </w:p>
    <w:p w:rsidR="005C4E20" w:rsidRPr="00BA6DCA" w:rsidRDefault="005C4E20" w:rsidP="005C4E20">
      <w:pPr>
        <w:widowControl w:val="0"/>
        <w:autoSpaceDE w:val="0"/>
        <w:autoSpaceDN w:val="0"/>
        <w:ind w:firstLine="0"/>
        <w:rPr>
          <w:rFonts w:cs="Arial"/>
        </w:rPr>
      </w:pPr>
      <w:r w:rsidRPr="00BA6DCA">
        <w:rPr>
          <w:rFonts w:cs="Arial"/>
        </w:rPr>
        <w:t>- своевременную и полную реализацию основных программных мероприятий;</w:t>
      </w:r>
    </w:p>
    <w:p w:rsidR="005C4E20" w:rsidRPr="00457E17" w:rsidRDefault="005C4E20" w:rsidP="005C4E20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proofErr w:type="gramStart"/>
      <w:r w:rsidRPr="00BA6DCA">
        <w:rPr>
          <w:rFonts w:cs="Arial"/>
        </w:rPr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BA6DCA">
        <w:rPr>
          <w:rFonts w:cs="Arial"/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жилищно-коммунальному хозяйству, имуществу и комплексному развитию, 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5C4E20" w:rsidRPr="00BA6DCA" w:rsidRDefault="005C4E20" w:rsidP="005C4E20">
      <w:pPr>
        <w:widowControl w:val="0"/>
        <w:autoSpaceDE w:val="0"/>
        <w:autoSpaceDN w:val="0"/>
        <w:adjustRightInd w:val="0"/>
        <w:spacing w:after="200"/>
        <w:ind w:firstLine="708"/>
        <w:rPr>
          <w:rFonts w:cs="Arial"/>
          <w:b/>
        </w:rPr>
      </w:pPr>
      <w:r w:rsidRPr="00BA6DCA">
        <w:rPr>
          <w:rFonts w:cs="Arial"/>
          <w:color w:val="000000"/>
        </w:rPr>
        <w:t>Координация хода реализации муниципальной программы осуществляется заместителем Главы администрации по жилищно-коммунальному хозяйству, имуществу и комплексному развитию.</w:t>
      </w:r>
    </w:p>
    <w:p w:rsidR="00B95E4B" w:rsidRPr="005C4E20" w:rsidRDefault="00B95E4B" w:rsidP="005C4E20"/>
    <w:sectPr w:rsidR="00B95E4B" w:rsidRPr="005C4E20" w:rsidSect="007F1B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149D4"/>
    <w:rsid w:val="00022D03"/>
    <w:rsid w:val="000232B3"/>
    <w:rsid w:val="00023643"/>
    <w:rsid w:val="000253BC"/>
    <w:rsid w:val="0003391B"/>
    <w:rsid w:val="000401FE"/>
    <w:rsid w:val="00055134"/>
    <w:rsid w:val="0005544E"/>
    <w:rsid w:val="00064C4A"/>
    <w:rsid w:val="00066BB9"/>
    <w:rsid w:val="000673C8"/>
    <w:rsid w:val="00067FAE"/>
    <w:rsid w:val="00074478"/>
    <w:rsid w:val="000821AF"/>
    <w:rsid w:val="00083A08"/>
    <w:rsid w:val="000A3D97"/>
    <w:rsid w:val="000A49E9"/>
    <w:rsid w:val="000A4B64"/>
    <w:rsid w:val="000A50C4"/>
    <w:rsid w:val="000A51C8"/>
    <w:rsid w:val="000A65D3"/>
    <w:rsid w:val="000A6BC0"/>
    <w:rsid w:val="000B2842"/>
    <w:rsid w:val="000B317E"/>
    <w:rsid w:val="000D0969"/>
    <w:rsid w:val="000D0C99"/>
    <w:rsid w:val="000D225F"/>
    <w:rsid w:val="000D3ED8"/>
    <w:rsid w:val="000E6A3F"/>
    <w:rsid w:val="0010723D"/>
    <w:rsid w:val="00113689"/>
    <w:rsid w:val="0011434E"/>
    <w:rsid w:val="00116CC7"/>
    <w:rsid w:val="0012165F"/>
    <w:rsid w:val="00127A14"/>
    <w:rsid w:val="001369F8"/>
    <w:rsid w:val="00137DC8"/>
    <w:rsid w:val="00144F22"/>
    <w:rsid w:val="00157327"/>
    <w:rsid w:val="001577A4"/>
    <w:rsid w:val="0016601C"/>
    <w:rsid w:val="0017232A"/>
    <w:rsid w:val="0018135D"/>
    <w:rsid w:val="00191EEC"/>
    <w:rsid w:val="00191FE4"/>
    <w:rsid w:val="001940AE"/>
    <w:rsid w:val="00197EF7"/>
    <w:rsid w:val="001B2CD5"/>
    <w:rsid w:val="001B3CE3"/>
    <w:rsid w:val="001B4342"/>
    <w:rsid w:val="001B4FE4"/>
    <w:rsid w:val="001D1531"/>
    <w:rsid w:val="001D17A5"/>
    <w:rsid w:val="001D2A53"/>
    <w:rsid w:val="001D3120"/>
    <w:rsid w:val="001D6F26"/>
    <w:rsid w:val="001E5CFC"/>
    <w:rsid w:val="001E7172"/>
    <w:rsid w:val="001F2F36"/>
    <w:rsid w:val="001F5438"/>
    <w:rsid w:val="001F6895"/>
    <w:rsid w:val="00200B07"/>
    <w:rsid w:val="00212935"/>
    <w:rsid w:val="00216EA3"/>
    <w:rsid w:val="00217123"/>
    <w:rsid w:val="002225D7"/>
    <w:rsid w:val="0022613F"/>
    <w:rsid w:val="00230894"/>
    <w:rsid w:val="00230A24"/>
    <w:rsid w:val="0023308C"/>
    <w:rsid w:val="002331AD"/>
    <w:rsid w:val="00234D4D"/>
    <w:rsid w:val="002361A6"/>
    <w:rsid w:val="0025391E"/>
    <w:rsid w:val="00254B78"/>
    <w:rsid w:val="00257A7B"/>
    <w:rsid w:val="00260CED"/>
    <w:rsid w:val="00262463"/>
    <w:rsid w:val="00267DD7"/>
    <w:rsid w:val="002748AB"/>
    <w:rsid w:val="00287D05"/>
    <w:rsid w:val="00294630"/>
    <w:rsid w:val="002A4605"/>
    <w:rsid w:val="002A7916"/>
    <w:rsid w:val="002B2BD3"/>
    <w:rsid w:val="002B5373"/>
    <w:rsid w:val="002B5415"/>
    <w:rsid w:val="002B560B"/>
    <w:rsid w:val="002C1E04"/>
    <w:rsid w:val="002C3704"/>
    <w:rsid w:val="002D557F"/>
    <w:rsid w:val="002E6546"/>
    <w:rsid w:val="002E767A"/>
    <w:rsid w:val="002F1AE9"/>
    <w:rsid w:val="002F1F6A"/>
    <w:rsid w:val="002F3670"/>
    <w:rsid w:val="002F56A6"/>
    <w:rsid w:val="00304CA9"/>
    <w:rsid w:val="00305AB8"/>
    <w:rsid w:val="00305D65"/>
    <w:rsid w:val="003170AF"/>
    <w:rsid w:val="003235F0"/>
    <w:rsid w:val="00336CB1"/>
    <w:rsid w:val="0033743A"/>
    <w:rsid w:val="003376A0"/>
    <w:rsid w:val="00337ACF"/>
    <w:rsid w:val="003413B2"/>
    <w:rsid w:val="00351E9A"/>
    <w:rsid w:val="00354626"/>
    <w:rsid w:val="0035704A"/>
    <w:rsid w:val="003614E2"/>
    <w:rsid w:val="00362B95"/>
    <w:rsid w:val="0036687C"/>
    <w:rsid w:val="003716A0"/>
    <w:rsid w:val="00373C7F"/>
    <w:rsid w:val="003819FB"/>
    <w:rsid w:val="00387C01"/>
    <w:rsid w:val="003950D0"/>
    <w:rsid w:val="0039695C"/>
    <w:rsid w:val="003A4A55"/>
    <w:rsid w:val="003A7251"/>
    <w:rsid w:val="003B5EC2"/>
    <w:rsid w:val="003C2387"/>
    <w:rsid w:val="003C303D"/>
    <w:rsid w:val="003C6010"/>
    <w:rsid w:val="003D34FF"/>
    <w:rsid w:val="003D7C1F"/>
    <w:rsid w:val="003E68DE"/>
    <w:rsid w:val="003E76B9"/>
    <w:rsid w:val="003F682B"/>
    <w:rsid w:val="00407B41"/>
    <w:rsid w:val="00413C59"/>
    <w:rsid w:val="00414A10"/>
    <w:rsid w:val="00416B9B"/>
    <w:rsid w:val="004213A3"/>
    <w:rsid w:val="004329D8"/>
    <w:rsid w:val="00433584"/>
    <w:rsid w:val="004440AD"/>
    <w:rsid w:val="00444D0B"/>
    <w:rsid w:val="00446E59"/>
    <w:rsid w:val="00447E31"/>
    <w:rsid w:val="00450275"/>
    <w:rsid w:val="00451C62"/>
    <w:rsid w:val="004579FF"/>
    <w:rsid w:val="0047150A"/>
    <w:rsid w:val="00471660"/>
    <w:rsid w:val="00475F6C"/>
    <w:rsid w:val="0047664E"/>
    <w:rsid w:val="00476701"/>
    <w:rsid w:val="00482F5C"/>
    <w:rsid w:val="00483A92"/>
    <w:rsid w:val="004914A7"/>
    <w:rsid w:val="004A228C"/>
    <w:rsid w:val="004A694E"/>
    <w:rsid w:val="004A6B3F"/>
    <w:rsid w:val="004B10D5"/>
    <w:rsid w:val="004B599B"/>
    <w:rsid w:val="004C4901"/>
    <w:rsid w:val="004C60BE"/>
    <w:rsid w:val="004C6E72"/>
    <w:rsid w:val="004C727F"/>
    <w:rsid w:val="004D02E1"/>
    <w:rsid w:val="004D18F2"/>
    <w:rsid w:val="004E0DA3"/>
    <w:rsid w:val="004E48E1"/>
    <w:rsid w:val="004F1981"/>
    <w:rsid w:val="004F4E81"/>
    <w:rsid w:val="004F70AC"/>
    <w:rsid w:val="0050037A"/>
    <w:rsid w:val="00505A80"/>
    <w:rsid w:val="00506AFF"/>
    <w:rsid w:val="00512C17"/>
    <w:rsid w:val="00516C36"/>
    <w:rsid w:val="00517AEE"/>
    <w:rsid w:val="00517B3A"/>
    <w:rsid w:val="005254A8"/>
    <w:rsid w:val="00526723"/>
    <w:rsid w:val="00530F34"/>
    <w:rsid w:val="00532A58"/>
    <w:rsid w:val="0053777E"/>
    <w:rsid w:val="005450B8"/>
    <w:rsid w:val="00546650"/>
    <w:rsid w:val="00551066"/>
    <w:rsid w:val="00562AE1"/>
    <w:rsid w:val="005649D7"/>
    <w:rsid w:val="005670F2"/>
    <w:rsid w:val="0057368C"/>
    <w:rsid w:val="00573A1E"/>
    <w:rsid w:val="00580AF6"/>
    <w:rsid w:val="005853F4"/>
    <w:rsid w:val="005862E2"/>
    <w:rsid w:val="00587DA4"/>
    <w:rsid w:val="005A0394"/>
    <w:rsid w:val="005A15FD"/>
    <w:rsid w:val="005A427D"/>
    <w:rsid w:val="005C3A1E"/>
    <w:rsid w:val="005C3D49"/>
    <w:rsid w:val="005C4E20"/>
    <w:rsid w:val="005D1773"/>
    <w:rsid w:val="005D467A"/>
    <w:rsid w:val="005E6C17"/>
    <w:rsid w:val="005F5AAB"/>
    <w:rsid w:val="005F6A89"/>
    <w:rsid w:val="00600092"/>
    <w:rsid w:val="0060021F"/>
    <w:rsid w:val="0060384D"/>
    <w:rsid w:val="00605E78"/>
    <w:rsid w:val="00611038"/>
    <w:rsid w:val="00617169"/>
    <w:rsid w:val="00620B93"/>
    <w:rsid w:val="00627909"/>
    <w:rsid w:val="006304DF"/>
    <w:rsid w:val="00635A42"/>
    <w:rsid w:val="00636843"/>
    <w:rsid w:val="006402F7"/>
    <w:rsid w:val="006434DB"/>
    <w:rsid w:val="006513EC"/>
    <w:rsid w:val="0065181C"/>
    <w:rsid w:val="006577EB"/>
    <w:rsid w:val="0066097E"/>
    <w:rsid w:val="00661C16"/>
    <w:rsid w:val="00662D40"/>
    <w:rsid w:val="00665147"/>
    <w:rsid w:val="00666222"/>
    <w:rsid w:val="0067011F"/>
    <w:rsid w:val="006772D7"/>
    <w:rsid w:val="006817EF"/>
    <w:rsid w:val="0068184E"/>
    <w:rsid w:val="00683687"/>
    <w:rsid w:val="00686F4D"/>
    <w:rsid w:val="0069269E"/>
    <w:rsid w:val="006933C0"/>
    <w:rsid w:val="006951CA"/>
    <w:rsid w:val="00695901"/>
    <w:rsid w:val="00696BAE"/>
    <w:rsid w:val="006A0CF2"/>
    <w:rsid w:val="006A7466"/>
    <w:rsid w:val="006C0176"/>
    <w:rsid w:val="006C3D85"/>
    <w:rsid w:val="006C53F5"/>
    <w:rsid w:val="006D606F"/>
    <w:rsid w:val="006E00D2"/>
    <w:rsid w:val="006E6367"/>
    <w:rsid w:val="006F2BAD"/>
    <w:rsid w:val="006F2D95"/>
    <w:rsid w:val="006F701A"/>
    <w:rsid w:val="006F704B"/>
    <w:rsid w:val="0070066D"/>
    <w:rsid w:val="00703DBC"/>
    <w:rsid w:val="00712D70"/>
    <w:rsid w:val="007203BC"/>
    <w:rsid w:val="0072136B"/>
    <w:rsid w:val="0072535D"/>
    <w:rsid w:val="00725F39"/>
    <w:rsid w:val="00737E46"/>
    <w:rsid w:val="0074079D"/>
    <w:rsid w:val="00741620"/>
    <w:rsid w:val="007466A5"/>
    <w:rsid w:val="007467E5"/>
    <w:rsid w:val="0075467B"/>
    <w:rsid w:val="007650F4"/>
    <w:rsid w:val="00771C15"/>
    <w:rsid w:val="007810A4"/>
    <w:rsid w:val="007A33E9"/>
    <w:rsid w:val="007A3E21"/>
    <w:rsid w:val="007A40D7"/>
    <w:rsid w:val="007B67ED"/>
    <w:rsid w:val="007C1446"/>
    <w:rsid w:val="007C5E00"/>
    <w:rsid w:val="007D101A"/>
    <w:rsid w:val="007D32BD"/>
    <w:rsid w:val="007D35FE"/>
    <w:rsid w:val="007E7750"/>
    <w:rsid w:val="007F7F46"/>
    <w:rsid w:val="00802E53"/>
    <w:rsid w:val="0080655E"/>
    <w:rsid w:val="0081132C"/>
    <w:rsid w:val="008142FF"/>
    <w:rsid w:val="00815F71"/>
    <w:rsid w:val="00822546"/>
    <w:rsid w:val="008231C9"/>
    <w:rsid w:val="00824EC9"/>
    <w:rsid w:val="00840465"/>
    <w:rsid w:val="00840D19"/>
    <w:rsid w:val="00842AEC"/>
    <w:rsid w:val="00846FF8"/>
    <w:rsid w:val="00847761"/>
    <w:rsid w:val="00851CB2"/>
    <w:rsid w:val="00856E6B"/>
    <w:rsid w:val="00873AC7"/>
    <w:rsid w:val="00877940"/>
    <w:rsid w:val="00880A5C"/>
    <w:rsid w:val="00882039"/>
    <w:rsid w:val="0088226F"/>
    <w:rsid w:val="00882554"/>
    <w:rsid w:val="0088409F"/>
    <w:rsid w:val="008876FB"/>
    <w:rsid w:val="00894ABF"/>
    <w:rsid w:val="008A3406"/>
    <w:rsid w:val="008B2C0A"/>
    <w:rsid w:val="008B602F"/>
    <w:rsid w:val="008C0D6C"/>
    <w:rsid w:val="008C4412"/>
    <w:rsid w:val="008C5382"/>
    <w:rsid w:val="008C544B"/>
    <w:rsid w:val="008D6E70"/>
    <w:rsid w:val="008E3A54"/>
    <w:rsid w:val="008E4186"/>
    <w:rsid w:val="008E7D93"/>
    <w:rsid w:val="008F363D"/>
    <w:rsid w:val="009014C9"/>
    <w:rsid w:val="00901517"/>
    <w:rsid w:val="009026C8"/>
    <w:rsid w:val="009044AE"/>
    <w:rsid w:val="00905478"/>
    <w:rsid w:val="00905B15"/>
    <w:rsid w:val="00914DA3"/>
    <w:rsid w:val="009235A6"/>
    <w:rsid w:val="0093141D"/>
    <w:rsid w:val="0093369E"/>
    <w:rsid w:val="00955868"/>
    <w:rsid w:val="00963DA9"/>
    <w:rsid w:val="00964033"/>
    <w:rsid w:val="009711EF"/>
    <w:rsid w:val="00974833"/>
    <w:rsid w:val="00980841"/>
    <w:rsid w:val="0098287F"/>
    <w:rsid w:val="00990DC2"/>
    <w:rsid w:val="00996741"/>
    <w:rsid w:val="009A07EE"/>
    <w:rsid w:val="009A3542"/>
    <w:rsid w:val="009A50DA"/>
    <w:rsid w:val="009A52C2"/>
    <w:rsid w:val="009B2358"/>
    <w:rsid w:val="009C6E87"/>
    <w:rsid w:val="009E0D07"/>
    <w:rsid w:val="009E3003"/>
    <w:rsid w:val="009F3230"/>
    <w:rsid w:val="009F52B7"/>
    <w:rsid w:val="00A00A0A"/>
    <w:rsid w:val="00A02E84"/>
    <w:rsid w:val="00A06C34"/>
    <w:rsid w:val="00A10BB7"/>
    <w:rsid w:val="00A12ECB"/>
    <w:rsid w:val="00A1715D"/>
    <w:rsid w:val="00A33A69"/>
    <w:rsid w:val="00A415C9"/>
    <w:rsid w:val="00A42AE3"/>
    <w:rsid w:val="00A45176"/>
    <w:rsid w:val="00A470BA"/>
    <w:rsid w:val="00A471A6"/>
    <w:rsid w:val="00A5734E"/>
    <w:rsid w:val="00A6009F"/>
    <w:rsid w:val="00A6087B"/>
    <w:rsid w:val="00A64A33"/>
    <w:rsid w:val="00A7313D"/>
    <w:rsid w:val="00A7401E"/>
    <w:rsid w:val="00A81C03"/>
    <w:rsid w:val="00A8202E"/>
    <w:rsid w:val="00A83C62"/>
    <w:rsid w:val="00A90505"/>
    <w:rsid w:val="00A90F62"/>
    <w:rsid w:val="00A94D5F"/>
    <w:rsid w:val="00A969B2"/>
    <w:rsid w:val="00A96AC3"/>
    <w:rsid w:val="00AA1156"/>
    <w:rsid w:val="00AB0681"/>
    <w:rsid w:val="00AB3052"/>
    <w:rsid w:val="00AB697B"/>
    <w:rsid w:val="00AD2DF0"/>
    <w:rsid w:val="00AE3732"/>
    <w:rsid w:val="00AE483C"/>
    <w:rsid w:val="00AE55CA"/>
    <w:rsid w:val="00AE71DA"/>
    <w:rsid w:val="00AF5C03"/>
    <w:rsid w:val="00B061FE"/>
    <w:rsid w:val="00B13921"/>
    <w:rsid w:val="00B312C9"/>
    <w:rsid w:val="00B37DE1"/>
    <w:rsid w:val="00B41AEE"/>
    <w:rsid w:val="00B42F28"/>
    <w:rsid w:val="00B430C4"/>
    <w:rsid w:val="00B43502"/>
    <w:rsid w:val="00B46F33"/>
    <w:rsid w:val="00B47A81"/>
    <w:rsid w:val="00B53C51"/>
    <w:rsid w:val="00B567B1"/>
    <w:rsid w:val="00B640C0"/>
    <w:rsid w:val="00B6584B"/>
    <w:rsid w:val="00B65A0F"/>
    <w:rsid w:val="00B65D4C"/>
    <w:rsid w:val="00B70854"/>
    <w:rsid w:val="00B74B33"/>
    <w:rsid w:val="00B75AFA"/>
    <w:rsid w:val="00B8077D"/>
    <w:rsid w:val="00B83A99"/>
    <w:rsid w:val="00B86BBE"/>
    <w:rsid w:val="00B95E4B"/>
    <w:rsid w:val="00B976E8"/>
    <w:rsid w:val="00BA05B2"/>
    <w:rsid w:val="00BA0F21"/>
    <w:rsid w:val="00BA10A6"/>
    <w:rsid w:val="00BA79D1"/>
    <w:rsid w:val="00BB2076"/>
    <w:rsid w:val="00BC215F"/>
    <w:rsid w:val="00BC2777"/>
    <w:rsid w:val="00BC3EA6"/>
    <w:rsid w:val="00BC6E26"/>
    <w:rsid w:val="00BC756F"/>
    <w:rsid w:val="00BD02CE"/>
    <w:rsid w:val="00BE1127"/>
    <w:rsid w:val="00BE5471"/>
    <w:rsid w:val="00BE5870"/>
    <w:rsid w:val="00BE6DBB"/>
    <w:rsid w:val="00BE7D07"/>
    <w:rsid w:val="00BE7D5C"/>
    <w:rsid w:val="00BF17C9"/>
    <w:rsid w:val="00BF37F0"/>
    <w:rsid w:val="00C05254"/>
    <w:rsid w:val="00C07244"/>
    <w:rsid w:val="00C10CC5"/>
    <w:rsid w:val="00C142AD"/>
    <w:rsid w:val="00C15BC6"/>
    <w:rsid w:val="00C15D00"/>
    <w:rsid w:val="00C16119"/>
    <w:rsid w:val="00C21003"/>
    <w:rsid w:val="00C24A10"/>
    <w:rsid w:val="00C25A9F"/>
    <w:rsid w:val="00C27308"/>
    <w:rsid w:val="00C33A36"/>
    <w:rsid w:val="00C4082B"/>
    <w:rsid w:val="00C47B27"/>
    <w:rsid w:val="00C628C8"/>
    <w:rsid w:val="00C64487"/>
    <w:rsid w:val="00C66BE4"/>
    <w:rsid w:val="00C67049"/>
    <w:rsid w:val="00C701E7"/>
    <w:rsid w:val="00C81E63"/>
    <w:rsid w:val="00C86922"/>
    <w:rsid w:val="00C91D53"/>
    <w:rsid w:val="00C95D97"/>
    <w:rsid w:val="00C966AE"/>
    <w:rsid w:val="00CA06B3"/>
    <w:rsid w:val="00CA3646"/>
    <w:rsid w:val="00CC02D9"/>
    <w:rsid w:val="00CD0166"/>
    <w:rsid w:val="00CD654C"/>
    <w:rsid w:val="00CE72FE"/>
    <w:rsid w:val="00CF1BD2"/>
    <w:rsid w:val="00CF2CF0"/>
    <w:rsid w:val="00CF5D56"/>
    <w:rsid w:val="00CF71A6"/>
    <w:rsid w:val="00D013E0"/>
    <w:rsid w:val="00D01C82"/>
    <w:rsid w:val="00D032F1"/>
    <w:rsid w:val="00D0572E"/>
    <w:rsid w:val="00D21C03"/>
    <w:rsid w:val="00D24C61"/>
    <w:rsid w:val="00D2620E"/>
    <w:rsid w:val="00D267EC"/>
    <w:rsid w:val="00D27AC2"/>
    <w:rsid w:val="00D33460"/>
    <w:rsid w:val="00D35A2E"/>
    <w:rsid w:val="00D371CC"/>
    <w:rsid w:val="00D512AA"/>
    <w:rsid w:val="00D5141F"/>
    <w:rsid w:val="00D671EC"/>
    <w:rsid w:val="00D7455C"/>
    <w:rsid w:val="00D80AEE"/>
    <w:rsid w:val="00D8781E"/>
    <w:rsid w:val="00D90E0D"/>
    <w:rsid w:val="00D94095"/>
    <w:rsid w:val="00DA538E"/>
    <w:rsid w:val="00DB074E"/>
    <w:rsid w:val="00DB5020"/>
    <w:rsid w:val="00DC0DCF"/>
    <w:rsid w:val="00DC6891"/>
    <w:rsid w:val="00DC78C6"/>
    <w:rsid w:val="00DD1D9D"/>
    <w:rsid w:val="00DD3C23"/>
    <w:rsid w:val="00DD3FFA"/>
    <w:rsid w:val="00DE06FA"/>
    <w:rsid w:val="00DE4B02"/>
    <w:rsid w:val="00DE4B3A"/>
    <w:rsid w:val="00DE5D5C"/>
    <w:rsid w:val="00DF0B37"/>
    <w:rsid w:val="00E04831"/>
    <w:rsid w:val="00E07556"/>
    <w:rsid w:val="00E12EE4"/>
    <w:rsid w:val="00E13F28"/>
    <w:rsid w:val="00E14E15"/>
    <w:rsid w:val="00E219C4"/>
    <w:rsid w:val="00E23581"/>
    <w:rsid w:val="00E3180A"/>
    <w:rsid w:val="00E43AA1"/>
    <w:rsid w:val="00E44AD5"/>
    <w:rsid w:val="00E46E5C"/>
    <w:rsid w:val="00E60F34"/>
    <w:rsid w:val="00E6108D"/>
    <w:rsid w:val="00E63B71"/>
    <w:rsid w:val="00E66B64"/>
    <w:rsid w:val="00E675A8"/>
    <w:rsid w:val="00E7117A"/>
    <w:rsid w:val="00E7359D"/>
    <w:rsid w:val="00E75949"/>
    <w:rsid w:val="00E849C9"/>
    <w:rsid w:val="00E86053"/>
    <w:rsid w:val="00E86A1D"/>
    <w:rsid w:val="00E90079"/>
    <w:rsid w:val="00E90B4D"/>
    <w:rsid w:val="00E95A0E"/>
    <w:rsid w:val="00EA276F"/>
    <w:rsid w:val="00EA4D3D"/>
    <w:rsid w:val="00EA7B48"/>
    <w:rsid w:val="00EB32A1"/>
    <w:rsid w:val="00ED308C"/>
    <w:rsid w:val="00ED3A47"/>
    <w:rsid w:val="00ED569A"/>
    <w:rsid w:val="00EF6946"/>
    <w:rsid w:val="00EF703C"/>
    <w:rsid w:val="00EF7371"/>
    <w:rsid w:val="00F00C08"/>
    <w:rsid w:val="00F0475E"/>
    <w:rsid w:val="00F07C56"/>
    <w:rsid w:val="00F22178"/>
    <w:rsid w:val="00F2294F"/>
    <w:rsid w:val="00F2501A"/>
    <w:rsid w:val="00F25C17"/>
    <w:rsid w:val="00F26487"/>
    <w:rsid w:val="00F3516D"/>
    <w:rsid w:val="00F35A0C"/>
    <w:rsid w:val="00F36AD9"/>
    <w:rsid w:val="00F40782"/>
    <w:rsid w:val="00F4370F"/>
    <w:rsid w:val="00F66905"/>
    <w:rsid w:val="00F712AA"/>
    <w:rsid w:val="00F722B8"/>
    <w:rsid w:val="00F7440F"/>
    <w:rsid w:val="00F82E35"/>
    <w:rsid w:val="00F8323C"/>
    <w:rsid w:val="00F850BB"/>
    <w:rsid w:val="00F862BD"/>
    <w:rsid w:val="00F90415"/>
    <w:rsid w:val="00F91509"/>
    <w:rsid w:val="00F92423"/>
    <w:rsid w:val="00F9454F"/>
    <w:rsid w:val="00F975DB"/>
    <w:rsid w:val="00FA0FB6"/>
    <w:rsid w:val="00FA5DC8"/>
    <w:rsid w:val="00FA701E"/>
    <w:rsid w:val="00FA7CE4"/>
    <w:rsid w:val="00FB1D89"/>
    <w:rsid w:val="00FB31FA"/>
    <w:rsid w:val="00FB3E8B"/>
    <w:rsid w:val="00FB768F"/>
    <w:rsid w:val="00FC1E2F"/>
    <w:rsid w:val="00FC4A02"/>
    <w:rsid w:val="00FD3AF7"/>
    <w:rsid w:val="00FD6DE2"/>
    <w:rsid w:val="00FE7BB8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C756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C75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75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75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75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0551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5A0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5A0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5A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C75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BC756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E95A0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C75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C756F"/>
    <w:rPr>
      <w:color w:val="0000FF"/>
      <w:u w:val="none"/>
    </w:rPr>
  </w:style>
  <w:style w:type="paragraph" w:customStyle="1" w:styleId="Application">
    <w:name w:val="Application!Приложение"/>
    <w:rsid w:val="00BC756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756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756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756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C756F"/>
    <w:rPr>
      <w:sz w:val="28"/>
    </w:rPr>
  </w:style>
  <w:style w:type="table" w:customStyle="1" w:styleId="10">
    <w:name w:val="Сетка таблицы1"/>
    <w:basedOn w:val="a1"/>
    <w:next w:val="a4"/>
    <w:uiPriority w:val="59"/>
    <w:rsid w:val="005C4E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C756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C75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75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75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75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0551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5A0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5A0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5A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C75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BC756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E95A0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C75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C756F"/>
    <w:rPr>
      <w:color w:val="0000FF"/>
      <w:u w:val="none"/>
    </w:rPr>
  </w:style>
  <w:style w:type="paragraph" w:customStyle="1" w:styleId="Application">
    <w:name w:val="Application!Приложение"/>
    <w:rsid w:val="00BC756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756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756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756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C756F"/>
    <w:rPr>
      <w:sz w:val="28"/>
    </w:rPr>
  </w:style>
  <w:style w:type="table" w:customStyle="1" w:styleId="10">
    <w:name w:val="Сетка таблицы1"/>
    <w:basedOn w:val="a1"/>
    <w:next w:val="a4"/>
    <w:uiPriority w:val="59"/>
    <w:rsid w:val="005C4E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4ea07e2-bbf4-4cfa-bacc-0fd0dd0081a9.doc" TargetMode="External"/><Relationship Id="rId13" Type="http://schemas.openxmlformats.org/officeDocument/2006/relationships/hyperlink" Target="http://bd-registr2:8081/content/act/9e87cddd-3fc6-4189-9696-365905665035.doc" TargetMode="External"/><Relationship Id="rId18" Type="http://schemas.openxmlformats.org/officeDocument/2006/relationships/hyperlink" Target="http://bd-registr2:8081/content/act/a3188ace-9597-4656-8e5c-0cb61dfb9a9c.doc" TargetMode="External"/><Relationship Id="rId26" Type="http://schemas.openxmlformats.org/officeDocument/2006/relationships/hyperlink" Target="http://bd-registr2:8081/content/act/14ea07e2-bbf4-4cfa-bacc-0fd0dd0081a9.doc" TargetMode="External"/><Relationship Id="rId39" Type="http://schemas.openxmlformats.org/officeDocument/2006/relationships/hyperlink" Target="http://bd-registr2:8081/content/act/ce382b0c-70ff-4afc-a7ac-6f4dd46eeb8b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ce382b0c-70ff-4afc-a7ac-6f4dd46eeb8b.doc" TargetMode="External"/><Relationship Id="rId34" Type="http://schemas.openxmlformats.org/officeDocument/2006/relationships/hyperlink" Target="http://bd-registr2:8081/content/act/06e36602-4aa7-4e35-af94-c3e2f8dbe463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d-registr2:8081/content/act/8e41a254-c07a-4972-b6d5-a9c317d57263.doc" TargetMode="External"/><Relationship Id="rId12" Type="http://schemas.openxmlformats.org/officeDocument/2006/relationships/hyperlink" Target="http://bd-registr2:8081/content/act/1e914699-9e18-4c02-ad17-2aec63cac5b7.doc" TargetMode="External"/><Relationship Id="rId17" Type="http://schemas.openxmlformats.org/officeDocument/2006/relationships/hyperlink" Target="http://bd-registr2:8081/content/act/26555cee-2537-4903-91b8-0e1e8fc07acb.doc" TargetMode="External"/><Relationship Id="rId25" Type="http://schemas.openxmlformats.org/officeDocument/2006/relationships/hyperlink" Target="http://bd-registr2:8081/content/act/8e41a254-c07a-4972-b6d5-a9c317d57263.doc" TargetMode="External"/><Relationship Id="rId33" Type="http://schemas.openxmlformats.org/officeDocument/2006/relationships/hyperlink" Target="http://bd-registr2:8081/content/act/7c778bbe-a281-420b-a620-0d873a5a07b6.doc" TargetMode="External"/><Relationship Id="rId38" Type="http://schemas.openxmlformats.org/officeDocument/2006/relationships/hyperlink" Target="http://bd-registr2:8081/content/act/7b64bd67-c922-4b88-84ff-9499d6fa47c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06e36602-4aa7-4e35-af94-c3e2f8dbe463.doc" TargetMode="External"/><Relationship Id="rId20" Type="http://schemas.openxmlformats.org/officeDocument/2006/relationships/hyperlink" Target="http://bd-registr2:8081/content/act/7b64bd67-c922-4b88-84ff-9499d6fa47c6.doc" TargetMode="External"/><Relationship Id="rId29" Type="http://schemas.openxmlformats.org/officeDocument/2006/relationships/hyperlink" Target="http://bd-registr2:8081/content/act/04391d49-0dd7-4347-ba98-cae65a1ab7e5.doc" TargetMode="External"/><Relationship Id="rId41" Type="http://schemas.openxmlformats.org/officeDocument/2006/relationships/hyperlink" Target="http://nla-service.minjust.ru:8080/rnla-links/ws/content/act/96e20c02-1b12-465a-b64c-24aa9227000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04391d49-0dd7-4347-ba98-cae65a1ab7e5.doc" TargetMode="External"/><Relationship Id="rId24" Type="http://schemas.openxmlformats.org/officeDocument/2006/relationships/hyperlink" Target="http://bd-registr2:8081/content/act/000c5550-d540-4bae-9795-1071d3223f69.doc" TargetMode="External"/><Relationship Id="rId32" Type="http://schemas.openxmlformats.org/officeDocument/2006/relationships/hyperlink" Target="http://bd-registr2:8081/content/act/14444756-5a5d-4432-af16-3c7d8428543e.doc" TargetMode="External"/><Relationship Id="rId37" Type="http://schemas.openxmlformats.org/officeDocument/2006/relationships/hyperlink" Target="http://bd-registr2:8081/content/act/bb8a5447-bf41-418d-a686-a2df4f94f9fe.doc" TargetMode="External"/><Relationship Id="rId40" Type="http://schemas.openxmlformats.org/officeDocument/2006/relationships/hyperlink" Target="http://bd-registr2:8081/content/act/3431bc62-d7d6-4366-b04b-41e07b069e34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7c778bbe-a281-420b-a620-0d873a5a07b6.doc" TargetMode="External"/><Relationship Id="rId23" Type="http://schemas.openxmlformats.org/officeDocument/2006/relationships/hyperlink" Target="http://bd-registr2:8081/content/act/1e64e07c-0028-455b-9907-38930abce801.doc" TargetMode="External"/><Relationship Id="rId28" Type="http://schemas.openxmlformats.org/officeDocument/2006/relationships/hyperlink" Target="http://bd-registr2:8081/content/act/f0f1fbe2-79ab-4d7f-89a6-f7d1b40ce7a0.doc" TargetMode="External"/><Relationship Id="rId36" Type="http://schemas.openxmlformats.org/officeDocument/2006/relationships/hyperlink" Target="http://bd-registr2:8081/content/act/a3188ace-9597-4656-8e5c-0cb61dfb9a9c.doc" TargetMode="External"/><Relationship Id="rId10" Type="http://schemas.openxmlformats.org/officeDocument/2006/relationships/hyperlink" Target="http://bd-registr2:8081/content/act/f0f1fbe2-79ab-4d7f-89a6-f7d1b40ce7a0.doc" TargetMode="External"/><Relationship Id="rId19" Type="http://schemas.openxmlformats.org/officeDocument/2006/relationships/hyperlink" Target="http://bd-registr2:8081/content/act/bb8a5447-bf41-418d-a686-a2df4f94f9fe.doc" TargetMode="External"/><Relationship Id="rId31" Type="http://schemas.openxmlformats.org/officeDocument/2006/relationships/hyperlink" Target="http://bd-registr2:8081/content/act/9e87cddd-3fc6-4189-9696-365905665035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c86406ac-fd60-4d37-ba16-4d244c8caaba.doc" TargetMode="External"/><Relationship Id="rId14" Type="http://schemas.openxmlformats.org/officeDocument/2006/relationships/hyperlink" Target="http://bd-registr2:8081/content/act/14444756-5a5d-4432-af16-3c7d8428543e.doc" TargetMode="External"/><Relationship Id="rId22" Type="http://schemas.openxmlformats.org/officeDocument/2006/relationships/hyperlink" Target="http://bd-registr2:8081/content/act/3431bc62-d7d6-4366-b04b-41e07b069e34.doc" TargetMode="External"/><Relationship Id="rId27" Type="http://schemas.openxmlformats.org/officeDocument/2006/relationships/hyperlink" Target="http://bd-registr2:8081/content/act/c86406ac-fd60-4d37-ba16-4d244c8caaba.doc" TargetMode="External"/><Relationship Id="rId30" Type="http://schemas.openxmlformats.org/officeDocument/2006/relationships/hyperlink" Target="http://bd-registr2:8081/content/act/1e914699-9e18-4c02-ad17-2aec63cac5b7.doc" TargetMode="External"/><Relationship Id="rId35" Type="http://schemas.openxmlformats.org/officeDocument/2006/relationships/hyperlink" Target="http://bd-registr2:8081/content/act/26555cee-2537-4903-91b8-0e1e8fc07acb.doc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3C07B-F911-474C-BD67-AFCE3EBD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13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14</cp:revision>
  <cp:lastPrinted>2021-11-18T06:14:00Z</cp:lastPrinted>
  <dcterms:created xsi:type="dcterms:W3CDTF">2025-03-04T12:12:00Z</dcterms:created>
  <dcterms:modified xsi:type="dcterms:W3CDTF">2025-12-29T08:30:00Z</dcterms:modified>
</cp:coreProperties>
</file>